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42" w:rsidRDefault="003E3B9A" w:rsidP="00E80D16">
      <w:pPr>
        <w:spacing w:after="0"/>
        <w:jc w:val="both"/>
        <w:rPr>
          <w:rFonts w:ascii="Trebuchet MS" w:hAnsi="Trebuchet MS"/>
          <w:b/>
        </w:rPr>
      </w:pPr>
      <w:r w:rsidRPr="00E80D16">
        <w:rPr>
          <w:rFonts w:ascii="Trebuchet MS" w:hAnsi="Trebuchet MS"/>
          <w:b/>
        </w:rPr>
        <w:t>Capitolul  I: Prezentarea te</w:t>
      </w:r>
      <w:r w:rsidR="00523911" w:rsidRPr="00E80D16">
        <w:rPr>
          <w:rFonts w:ascii="Trebuchet MS" w:hAnsi="Trebuchet MS"/>
          <w:b/>
        </w:rPr>
        <w:t>ritoriului și a populației acope</w:t>
      </w:r>
      <w:r w:rsidRPr="00E80D16">
        <w:rPr>
          <w:rFonts w:ascii="Trebuchet MS" w:hAnsi="Trebuchet MS"/>
          <w:b/>
        </w:rPr>
        <w:t>rite - analiza diagnostic</w:t>
      </w:r>
    </w:p>
    <w:tbl>
      <w:tblPr>
        <w:tblStyle w:val="TableGrid"/>
        <w:tblW w:w="0" w:type="auto"/>
        <w:tblLayout w:type="fixed"/>
        <w:tblLook w:val="04A0" w:firstRow="1" w:lastRow="0" w:firstColumn="1" w:lastColumn="0" w:noHBand="0" w:noVBand="1"/>
      </w:tblPr>
      <w:tblGrid>
        <w:gridCol w:w="9242"/>
      </w:tblGrid>
      <w:tr w:rsidR="00E922A6" w:rsidTr="000D56B2">
        <w:tc>
          <w:tcPr>
            <w:tcW w:w="9242" w:type="dxa"/>
          </w:tcPr>
          <w:p w:rsidR="00E922A6" w:rsidRPr="00E80D16" w:rsidRDefault="000D56B2" w:rsidP="00B07BC8">
            <w:pPr>
              <w:spacing w:line="276" w:lineRule="auto"/>
              <w:jc w:val="both"/>
              <w:rPr>
                <w:rFonts w:ascii="Trebuchet MS" w:hAnsi="Trebuchet MS"/>
                <w:b/>
              </w:rPr>
            </w:pPr>
            <w:r>
              <w:rPr>
                <w:rFonts w:ascii="Trebuchet MS" w:hAnsi="Trebuchet MS"/>
                <w:b/>
              </w:rPr>
              <w:t>Teritoriul</w:t>
            </w:r>
            <w:r w:rsidR="00E922A6" w:rsidRPr="00E80D16">
              <w:rPr>
                <w:rFonts w:ascii="Trebuchet MS" w:hAnsi="Trebuchet MS"/>
                <w:b/>
              </w:rPr>
              <w:t xml:space="preserve"> (ind C3</w:t>
            </w:r>
            <w:r w:rsidR="00E922A6">
              <w:rPr>
                <w:rFonts w:ascii="Trebuchet MS" w:hAnsi="Trebuchet MS"/>
                <w:b/>
              </w:rPr>
              <w:t>/808</w:t>
            </w:r>
            <w:r w:rsidR="00E922A6" w:rsidRPr="00E80D16">
              <w:rPr>
                <w:rFonts w:ascii="Trebuchet MS" w:hAnsi="Trebuchet MS"/>
                <w:b/>
              </w:rPr>
              <w:t>)</w:t>
            </w:r>
            <w:r w:rsidR="00E922A6" w:rsidRPr="00A87554">
              <w:rPr>
                <w:rStyle w:val="FootnoteReference"/>
                <w:rFonts w:ascii="Trebuchet MS" w:eastAsia="Times New Roman" w:hAnsi="Trebuchet MS" w:cs="Times New Roman"/>
              </w:rPr>
              <w:t xml:space="preserve"> </w:t>
            </w:r>
            <w:r w:rsidR="00E922A6" w:rsidRPr="00C17195">
              <w:rPr>
                <w:rStyle w:val="FootnoteReference"/>
                <w:rFonts w:ascii="Trebuchet MS" w:eastAsia="Times New Roman" w:hAnsi="Trebuchet MS" w:cs="Times New Roman"/>
              </w:rPr>
              <w:footnoteReference w:id="1"/>
            </w:r>
          </w:p>
          <w:p w:rsidR="00B77EC2" w:rsidRPr="00B77EC2" w:rsidRDefault="00B77EC2" w:rsidP="00B07BC8">
            <w:pPr>
              <w:spacing w:line="276" w:lineRule="auto"/>
              <w:jc w:val="both"/>
              <w:rPr>
                <w:rFonts w:ascii="Trebuchet MS" w:hAnsi="Trebuchet MS"/>
              </w:rPr>
            </w:pPr>
            <w:r w:rsidRPr="00B77EC2">
              <w:rPr>
                <w:rFonts w:ascii="Trebuchet MS" w:hAnsi="Trebuchet MS"/>
              </w:rPr>
              <w:t>GAL Dobrogea Centrală se află loca</w:t>
            </w:r>
            <w:r>
              <w:rPr>
                <w:rFonts w:ascii="Trebuchet MS" w:hAnsi="Trebuchet MS"/>
              </w:rPr>
              <w:t>li</w:t>
            </w:r>
            <w:r w:rsidRPr="00B77EC2">
              <w:rPr>
                <w:rFonts w:ascii="Trebuchet MS" w:hAnsi="Trebuchet MS"/>
              </w:rPr>
              <w:t>zat în sud-estul României în partea de centru vest a judeţul</w:t>
            </w:r>
            <w:r>
              <w:rPr>
                <w:rFonts w:ascii="Trebuchet MS" w:hAnsi="Trebuchet MS"/>
              </w:rPr>
              <w:t>ui</w:t>
            </w:r>
            <w:r w:rsidRPr="00B77EC2">
              <w:rPr>
                <w:rFonts w:ascii="Trebuchet MS" w:hAnsi="Trebuchet MS"/>
              </w:rPr>
              <w:t xml:space="preserve"> Cons</w:t>
            </w:r>
            <w:r w:rsidR="00B9216D">
              <w:rPr>
                <w:rFonts w:ascii="Trebuchet MS" w:hAnsi="Trebuchet MS"/>
              </w:rPr>
              <w:t>tanţa şi se continuă prin comuna</w:t>
            </w:r>
            <w:r w:rsidRPr="00B77EC2">
              <w:rPr>
                <w:rFonts w:ascii="Trebuchet MS" w:hAnsi="Trebuchet MS"/>
              </w:rPr>
              <w:t xml:space="preserve"> Casimcea în sudul judeţului Tulcea.</w:t>
            </w:r>
          </w:p>
          <w:p w:rsidR="00B77EC2" w:rsidRPr="00B77EC2" w:rsidRDefault="00B77EC2" w:rsidP="00B07BC8">
            <w:pPr>
              <w:spacing w:line="276" w:lineRule="auto"/>
              <w:jc w:val="both"/>
              <w:rPr>
                <w:rFonts w:ascii="Trebuchet MS" w:hAnsi="Trebuchet MS"/>
              </w:rPr>
            </w:pPr>
            <w:r w:rsidRPr="00B77EC2">
              <w:rPr>
                <w:rFonts w:ascii="Trebuchet MS" w:hAnsi="Trebuchet MS"/>
              </w:rPr>
              <w:t>Comunităţile partenere GAL sunt aşezate la nord şi sud de Canalul Dunăre-Marea Neagră, la vest se întind de-a lungul Dunării,</w:t>
            </w:r>
            <w:r>
              <w:rPr>
                <w:rFonts w:ascii="Trebuchet MS" w:hAnsi="Trebuchet MS"/>
              </w:rPr>
              <w:t xml:space="preserve"> la est se învecinează cu oraşul</w:t>
            </w:r>
            <w:r w:rsidRPr="00B77EC2">
              <w:rPr>
                <w:rFonts w:ascii="Trebuchet MS" w:hAnsi="Trebuchet MS"/>
              </w:rPr>
              <w:t xml:space="preserve"> Medgidia şi alte comune ale judeţului, în partea de vest şi nord terito</w:t>
            </w:r>
            <w:r>
              <w:rPr>
                <w:rFonts w:ascii="Trebuchet MS" w:hAnsi="Trebuchet MS"/>
              </w:rPr>
              <w:t>riul înconjoară</w:t>
            </w:r>
            <w:r w:rsidRPr="00B77EC2">
              <w:rPr>
                <w:rFonts w:ascii="Trebuchet MS" w:hAnsi="Trebuchet MS"/>
              </w:rPr>
              <w:t xml:space="preserve"> oraşele Cernavodă şi Hârşova. Teritoriul este omogen din punct de vedere  geografic deoarece comunităţile se unesc între ele prin graniţe comune, relieful este podiş, teritoriul este omogen economic, princ</w:t>
            </w:r>
            <w:r>
              <w:rPr>
                <w:rFonts w:ascii="Trebuchet MS" w:hAnsi="Trebuchet MS"/>
              </w:rPr>
              <w:t>ipala activitate este agricultura</w:t>
            </w:r>
            <w:r w:rsidRPr="00B77EC2">
              <w:rPr>
                <w:rFonts w:ascii="Trebuchet MS" w:hAnsi="Trebuchet MS"/>
              </w:rPr>
              <w:t>, omogenitate socială se remarcă prin unitate în diversitatea etnică. Terito</w:t>
            </w:r>
            <w:r>
              <w:rPr>
                <w:rFonts w:ascii="Trebuchet MS" w:hAnsi="Trebuchet MS"/>
              </w:rPr>
              <w:t>r</w:t>
            </w:r>
            <w:r w:rsidRPr="00B77EC2">
              <w:rPr>
                <w:rFonts w:ascii="Trebuchet MS" w:hAnsi="Trebuchet MS"/>
              </w:rPr>
              <w:t>iul este traversat de autostrada A2 Bucureşti</w:t>
            </w:r>
            <w:r w:rsidR="00B9216D">
              <w:rPr>
                <w:rFonts w:ascii="Trebuchet MS" w:hAnsi="Trebuchet MS"/>
              </w:rPr>
              <w:t>-</w:t>
            </w:r>
            <w:r w:rsidRPr="00B77EC2">
              <w:rPr>
                <w:rFonts w:ascii="Trebuchet MS" w:hAnsi="Trebuchet MS"/>
              </w:rPr>
              <w:t xml:space="preserve"> Constanţa şi calea ferată Constanţa</w:t>
            </w:r>
            <w:r w:rsidR="00B9216D">
              <w:rPr>
                <w:rFonts w:ascii="Trebuchet MS" w:hAnsi="Trebuchet MS"/>
              </w:rPr>
              <w:t>-</w:t>
            </w:r>
            <w:r w:rsidRPr="00B77EC2">
              <w:rPr>
                <w:rFonts w:ascii="Trebuchet MS" w:hAnsi="Trebuchet MS"/>
              </w:rPr>
              <w:t>Bucureşti</w:t>
            </w:r>
            <w:r>
              <w:rPr>
                <w:rFonts w:ascii="Trebuchet MS" w:hAnsi="Trebuchet MS"/>
              </w:rPr>
              <w:t>,</w:t>
            </w:r>
            <w:r w:rsidRPr="00B77EC2">
              <w:rPr>
                <w:rFonts w:ascii="Trebuchet MS" w:hAnsi="Trebuchet MS"/>
              </w:rPr>
              <w:t xml:space="preserve"> </w:t>
            </w:r>
            <w:r w:rsidR="00B9216D">
              <w:rPr>
                <w:rFonts w:ascii="Trebuchet MS" w:hAnsi="Trebuchet MS"/>
              </w:rPr>
              <w:t xml:space="preserve">parte a coridorului Paneuropean </w:t>
            </w:r>
            <w:r w:rsidRPr="00B77EC2">
              <w:rPr>
                <w:rFonts w:ascii="Trebuchet MS" w:hAnsi="Trebuchet MS"/>
              </w:rPr>
              <w:t>4. Delimitarea unităţilor administrativ teritoriale şi localizarea teritoriului este evidenţiată în harta admi</w:t>
            </w:r>
            <w:r w:rsidR="00B9216D">
              <w:rPr>
                <w:rFonts w:ascii="Trebuchet MS" w:hAnsi="Trebuchet MS"/>
              </w:rPr>
              <w:t>nistrativă şi geografică, (Anexa</w:t>
            </w:r>
            <w:r w:rsidRPr="00B77EC2">
              <w:rPr>
                <w:rFonts w:ascii="Trebuchet MS" w:hAnsi="Trebuchet MS"/>
              </w:rPr>
              <w:t xml:space="preserve"> 5 la SDL). Teritoriul este străbătut de o reţea deasă de drumuri naţionale şi judeţene, cele mai importante fiind dumurile naţionale Constanţa-Bucureşti (DN2a) şi Tulcea-Bucurest(DN 22)</w:t>
            </w:r>
            <w:r>
              <w:rPr>
                <w:rFonts w:ascii="Trebuchet MS" w:hAnsi="Trebuchet MS"/>
              </w:rPr>
              <w:t>.</w:t>
            </w:r>
          </w:p>
          <w:p w:rsidR="00B77EC2" w:rsidRPr="00B77EC2" w:rsidRDefault="00B77EC2" w:rsidP="00B07BC8">
            <w:pPr>
              <w:spacing w:line="276" w:lineRule="auto"/>
              <w:jc w:val="both"/>
              <w:rPr>
                <w:rFonts w:ascii="Trebuchet MS" w:hAnsi="Trebuchet MS"/>
              </w:rPr>
            </w:pPr>
            <w:r w:rsidRPr="00B77EC2">
              <w:rPr>
                <w:rFonts w:ascii="Trebuchet MS" w:hAnsi="Trebuchet MS"/>
              </w:rPr>
              <w:t xml:space="preserve">Suprafaţă teritoriului GAL Dobrogea Centrală  este de </w:t>
            </w:r>
            <w:r w:rsidR="00346D09">
              <w:rPr>
                <w:rFonts w:ascii="Trebuchet MS" w:hAnsi="Trebuchet MS"/>
              </w:rPr>
              <w:t>1606.65</w:t>
            </w:r>
            <w:r>
              <w:rPr>
                <w:rStyle w:val="FootnoteReference"/>
                <w:rFonts w:ascii="Trebuchet MS" w:hAnsi="Trebuchet MS"/>
              </w:rPr>
              <w:footnoteReference w:id="2"/>
            </w:r>
            <w:r w:rsidRPr="00B77EC2">
              <w:rPr>
                <w:rFonts w:ascii="Trebuchet MS" w:hAnsi="Trebuchet MS"/>
              </w:rPr>
              <w:t xml:space="preserve">  kmp cu o populaţie de (ind C1/808) 37.62</w:t>
            </w:r>
            <w:r w:rsidR="00346D09">
              <w:rPr>
                <w:rFonts w:ascii="Trebuchet MS" w:hAnsi="Trebuchet MS"/>
              </w:rPr>
              <w:t>4</w:t>
            </w:r>
            <w:r>
              <w:rPr>
                <w:rStyle w:val="FootnoteReference"/>
                <w:rFonts w:ascii="Trebuchet MS" w:hAnsi="Trebuchet MS"/>
              </w:rPr>
              <w:footnoteReference w:id="3"/>
            </w:r>
            <w:r w:rsidRPr="00B77EC2">
              <w:rPr>
                <w:rFonts w:ascii="Trebuchet MS" w:hAnsi="Trebuchet MS"/>
              </w:rPr>
              <w:t xml:space="preserve">  locuitori şi o densitate  de 23.</w:t>
            </w:r>
            <w:r w:rsidR="00346D09">
              <w:rPr>
                <w:rFonts w:ascii="Trebuchet MS" w:hAnsi="Trebuchet MS"/>
              </w:rPr>
              <w:t>4</w:t>
            </w:r>
            <w:r w:rsidRPr="00B77EC2">
              <w:rPr>
                <w:rFonts w:ascii="Trebuchet MS" w:hAnsi="Trebuchet MS"/>
              </w:rPr>
              <w:t xml:space="preserve"> locuitori/kmp (ind C4/808), fiind format din 15 UAT-uri. Documentele care atestă reprezentativita</w:t>
            </w:r>
            <w:r w:rsidR="00B9216D">
              <w:rPr>
                <w:rFonts w:ascii="Trebuchet MS" w:hAnsi="Trebuchet MS"/>
              </w:rPr>
              <w:t>tea teritorială constituie (Anexa</w:t>
            </w:r>
            <w:r w:rsidRPr="00B77EC2">
              <w:rPr>
                <w:rFonts w:ascii="Trebuchet MS" w:hAnsi="Trebuchet MS"/>
              </w:rPr>
              <w:t xml:space="preserve"> 1 la SDL</w:t>
            </w:r>
            <w:r w:rsidR="00B9216D">
              <w:rPr>
                <w:rFonts w:ascii="Trebuchet MS" w:hAnsi="Trebuchet MS"/>
              </w:rPr>
              <w:t>)</w:t>
            </w:r>
            <w:r w:rsidRPr="00B77EC2">
              <w:rPr>
                <w:rFonts w:ascii="Trebuchet MS" w:hAnsi="Trebuchet MS"/>
              </w:rPr>
              <w:t xml:space="preserve"> Acord de parteneriat şi Hotărâri ale Consiliilor Locale privind aderarea la teritoriu. </w:t>
            </w:r>
          </w:p>
          <w:p w:rsidR="00B77EC2" w:rsidRPr="00B77EC2" w:rsidRDefault="00B77EC2" w:rsidP="00B07BC8">
            <w:pPr>
              <w:spacing w:line="276" w:lineRule="auto"/>
              <w:jc w:val="both"/>
              <w:rPr>
                <w:rFonts w:ascii="Trebuchet MS" w:hAnsi="Trebuchet MS"/>
              </w:rPr>
            </w:pPr>
            <w:r w:rsidRPr="00B77EC2">
              <w:rPr>
                <w:rFonts w:ascii="Trebuchet MS" w:hAnsi="Trebuchet MS"/>
              </w:rPr>
              <w:t>Fondul funciar după modul de folosinţă pe categorii (date INSSE)</w:t>
            </w:r>
            <w:r>
              <w:rPr>
                <w:rStyle w:val="FootnoteReference"/>
                <w:rFonts w:ascii="Trebuchet MS" w:hAnsi="Trebuchet MS"/>
              </w:rPr>
              <w:footnoteReference w:id="4"/>
            </w:r>
            <w:r w:rsidRPr="00B77EC2">
              <w:rPr>
                <w:rFonts w:ascii="Trebuchet MS" w:hAnsi="Trebuchet MS"/>
              </w:rPr>
              <w:t xml:space="preserve">  este din t</w:t>
            </w:r>
            <w:r w:rsidR="00B9216D">
              <w:rPr>
                <w:rFonts w:ascii="Trebuchet MS" w:hAnsi="Trebuchet MS"/>
              </w:rPr>
              <w:t>otal:</w:t>
            </w:r>
            <w:r w:rsidRPr="00B77EC2">
              <w:rPr>
                <w:rFonts w:ascii="Trebuchet MS" w:hAnsi="Trebuchet MS"/>
              </w:rPr>
              <w:t xml:space="preserve"> agricol</w:t>
            </w:r>
            <w:r>
              <w:rPr>
                <w:rFonts w:ascii="Trebuchet MS" w:hAnsi="Trebuchet MS"/>
              </w:rPr>
              <w:t xml:space="preserve"> 132.164 ha (ind C18/808) 81%, </w:t>
            </w:r>
            <w:r w:rsidRPr="00B77EC2">
              <w:rPr>
                <w:rFonts w:ascii="Trebuchet MS" w:hAnsi="Trebuchet MS"/>
              </w:rPr>
              <w:t xml:space="preserve">arabil 112.793 ha 69% din care: păşuni 17,22%, vii şi pepiniere 2.9%, livezi 0,7%, şi neagricol 19%. Din totalul suprafeţei agricole 132.164 ha, 112.793 ha terenul arabil reprezintă 85%.  </w:t>
            </w:r>
          </w:p>
          <w:p w:rsidR="00B77EC2" w:rsidRPr="00B77EC2" w:rsidRDefault="00B77EC2" w:rsidP="00B07BC8">
            <w:pPr>
              <w:spacing w:line="276" w:lineRule="auto"/>
              <w:jc w:val="both"/>
              <w:rPr>
                <w:rFonts w:ascii="Trebuchet MS" w:hAnsi="Trebuchet MS"/>
              </w:rPr>
            </w:pPr>
            <w:r w:rsidRPr="00B77EC2">
              <w:rPr>
                <w:rFonts w:ascii="Trebuchet MS" w:hAnsi="Trebuchet MS"/>
              </w:rPr>
              <w:t>Cu o suprafaţă totală de 24.297 ha, ponderea terenurilor neagricole este de 19 % din total teritoriu, din care: terenuri  degradate 1878 ha 7,7% (ind C42/808), luciu de apă 20,6%. Apele reprezintă resursă  complementară cu sectorul de păduri şi vegetaţie forestieră  în suprafaţă de 11176 ha 46</w:t>
            </w:r>
            <w:r>
              <w:rPr>
                <w:rFonts w:ascii="Trebuchet MS" w:hAnsi="Trebuchet MS"/>
              </w:rPr>
              <w:t xml:space="preserve">% din neagricol (ind C29/808), </w:t>
            </w:r>
            <w:r w:rsidRPr="00B77EC2">
              <w:rPr>
                <w:rFonts w:ascii="Trebuchet MS" w:hAnsi="Trebuchet MS"/>
              </w:rPr>
              <w:t>alătu</w:t>
            </w:r>
            <w:r>
              <w:rPr>
                <w:rFonts w:ascii="Trebuchet MS" w:hAnsi="Trebuchet MS"/>
              </w:rPr>
              <w:t>ri de 80.400 ha de situri Natura</w:t>
            </w:r>
            <w:r w:rsidRPr="00B77EC2">
              <w:rPr>
                <w:rFonts w:ascii="Trebuchet MS" w:hAnsi="Trebuchet MS"/>
              </w:rPr>
              <w:t xml:space="preserve"> 2000 (ind C34/808), o</w:t>
            </w:r>
            <w:r>
              <w:rPr>
                <w:rFonts w:ascii="Trebuchet MS" w:hAnsi="Trebuchet MS"/>
              </w:rPr>
              <w:t>feră oportunitatea iniţierii activităț</w:t>
            </w:r>
            <w:r w:rsidRPr="00B77EC2">
              <w:rPr>
                <w:rFonts w:ascii="Trebuchet MS" w:hAnsi="Trebuchet MS"/>
              </w:rPr>
              <w:t xml:space="preserve">ilor agroturistice, </w:t>
            </w:r>
            <w:r w:rsidR="00B9216D">
              <w:rPr>
                <w:rFonts w:ascii="Trebuchet MS" w:hAnsi="Trebuchet MS"/>
              </w:rPr>
              <w:t xml:space="preserve">si </w:t>
            </w:r>
            <w:r w:rsidRPr="00B77EC2">
              <w:rPr>
                <w:rFonts w:ascii="Trebuchet MS" w:hAnsi="Trebuchet MS"/>
              </w:rPr>
              <w:t>core</w:t>
            </w:r>
            <w:r>
              <w:rPr>
                <w:rFonts w:ascii="Trebuchet MS" w:hAnsi="Trebuchet MS"/>
              </w:rPr>
              <w:t>spunde nevoii N5 „N</w:t>
            </w:r>
            <w:r w:rsidRPr="00B77EC2">
              <w:rPr>
                <w:rFonts w:ascii="Trebuchet MS" w:hAnsi="Trebuchet MS"/>
              </w:rPr>
              <w:t xml:space="preserve">ecesitatea diversificării activităţilor din agricultură, valorificarea oportunităţilor de dezvoltare, creşterea atractivităţii zonei”.  </w:t>
            </w:r>
          </w:p>
          <w:p w:rsidR="00B77EC2" w:rsidRPr="00B77EC2" w:rsidRDefault="00B77EC2" w:rsidP="00B07BC8">
            <w:pPr>
              <w:spacing w:line="276" w:lineRule="auto"/>
              <w:jc w:val="both"/>
              <w:rPr>
                <w:rFonts w:ascii="Trebuchet MS" w:hAnsi="Trebuchet MS"/>
              </w:rPr>
            </w:pPr>
            <w:r w:rsidRPr="00B77EC2">
              <w:rPr>
                <w:rFonts w:ascii="Trebuchet MS" w:hAnsi="Trebuchet MS"/>
              </w:rPr>
              <w:t xml:space="preserve">Caracteristici economice (ind C10/808) </w:t>
            </w:r>
          </w:p>
          <w:p w:rsidR="00B77EC2" w:rsidRPr="00B77EC2" w:rsidRDefault="00B77EC2" w:rsidP="00B07BC8">
            <w:pPr>
              <w:spacing w:line="276" w:lineRule="auto"/>
              <w:jc w:val="both"/>
              <w:rPr>
                <w:rFonts w:ascii="Trebuchet MS" w:hAnsi="Trebuchet MS"/>
              </w:rPr>
            </w:pPr>
            <w:r w:rsidRPr="00B77EC2">
              <w:rPr>
                <w:rFonts w:ascii="Trebuchet MS" w:hAnsi="Trebuchet MS"/>
              </w:rPr>
              <w:t>Principalele tipuri de activităţ</w:t>
            </w:r>
            <w:r>
              <w:rPr>
                <w:rFonts w:ascii="Trebuchet MS" w:hAnsi="Trebuchet MS"/>
              </w:rPr>
              <w:t>i economice identificate în zonă</w:t>
            </w:r>
            <w:r w:rsidRPr="00B77EC2">
              <w:rPr>
                <w:rFonts w:ascii="Trebuchet MS" w:hAnsi="Trebuchet MS"/>
              </w:rPr>
              <w:t xml:space="preserve"> sunt cele legate de agricultură şi comerţ, în timp ce sectoarele de servicii şi producţie în domenii ne-agricol sunt foarte slab reprezentate. Din punct de vedere al structurii economiei locale</w:t>
            </w:r>
            <w:r w:rsidR="000D56B2">
              <w:rPr>
                <w:rFonts w:ascii="Trebuchet MS" w:hAnsi="Trebuchet MS"/>
              </w:rPr>
              <w:t>,</w:t>
            </w:r>
            <w:r w:rsidRPr="00B77EC2">
              <w:rPr>
                <w:rFonts w:ascii="Trebuchet MS" w:hAnsi="Trebuchet MS"/>
              </w:rPr>
              <w:t xml:space="preserve"> după tipul întreprinderilor, întreprind</w:t>
            </w:r>
            <w:r w:rsidR="000D56B2">
              <w:rPr>
                <w:rFonts w:ascii="Trebuchet MS" w:hAnsi="Trebuchet MS"/>
              </w:rPr>
              <w:t>erile mici sunt cele mai multe.</w:t>
            </w:r>
            <w:r w:rsidRPr="00B77EC2">
              <w:rPr>
                <w:rFonts w:ascii="Trebuchet MS" w:hAnsi="Trebuchet MS"/>
              </w:rPr>
              <w:t>Conform datelor furnizate de autorităţile</w:t>
            </w:r>
            <w:r>
              <w:rPr>
                <w:rFonts w:ascii="Trebuchet MS" w:hAnsi="Trebuchet MS"/>
              </w:rPr>
              <w:t xml:space="preserve"> publice locale şi datele INSSE</w:t>
            </w:r>
            <w:r>
              <w:rPr>
                <w:rStyle w:val="FootnoteReference"/>
                <w:rFonts w:ascii="Trebuchet MS" w:hAnsi="Trebuchet MS"/>
              </w:rPr>
              <w:footnoteReference w:id="5"/>
            </w:r>
            <w:r w:rsidRPr="00B77EC2">
              <w:rPr>
                <w:rFonts w:ascii="Trebuchet MS" w:hAnsi="Trebuchet MS"/>
              </w:rPr>
              <w:t>, la nivelul teritoriului există în prezent un număr de 230 întreprinderi cu activitate economică</w:t>
            </w:r>
            <w:r w:rsidR="000D56B2">
              <w:rPr>
                <w:rFonts w:ascii="Trebuchet MS" w:hAnsi="Trebuchet MS"/>
              </w:rPr>
              <w:t>,</w:t>
            </w:r>
            <w:r w:rsidRPr="00B77EC2">
              <w:rPr>
                <w:rFonts w:ascii="Trebuchet MS" w:hAnsi="Trebuchet MS"/>
              </w:rPr>
              <w:t xml:space="preserve"> din care: agricole 78, comerţ 91, construcţii 28,  industrie alimentară 6, industrie 7, se</w:t>
            </w:r>
            <w:r>
              <w:rPr>
                <w:rFonts w:ascii="Trebuchet MS" w:hAnsi="Trebuchet MS"/>
              </w:rPr>
              <w:t>r</w:t>
            </w:r>
            <w:r w:rsidR="000D56B2">
              <w:rPr>
                <w:rFonts w:ascii="Trebuchet MS" w:hAnsi="Trebuchet MS"/>
              </w:rPr>
              <w:t xml:space="preserve">vicii 20. </w:t>
            </w:r>
            <w:r w:rsidRPr="00B77EC2">
              <w:rPr>
                <w:rFonts w:ascii="Trebuchet MS" w:hAnsi="Trebuchet MS"/>
              </w:rPr>
              <w:t>Numărul de întreprinderi este foarte mic în comparaţie cu popul</w:t>
            </w:r>
            <w:r w:rsidR="000D56B2">
              <w:rPr>
                <w:rFonts w:ascii="Trebuchet MS" w:hAnsi="Trebuchet MS"/>
              </w:rPr>
              <w:t xml:space="preserve">aţia activă de 17192 locuitori. </w:t>
            </w:r>
            <w:r w:rsidRPr="00B77EC2">
              <w:rPr>
                <w:rFonts w:ascii="Trebuchet MS" w:hAnsi="Trebuchet MS"/>
              </w:rPr>
              <w:t>În această statistică nu sunt cuprinse cele 9767 de exploataţiile agricole înregistrate şi neînregistrate juridic.</w:t>
            </w:r>
          </w:p>
          <w:p w:rsidR="00B77EC2" w:rsidRDefault="00CA7A8F" w:rsidP="00B07BC8">
            <w:pPr>
              <w:spacing w:line="276" w:lineRule="auto"/>
              <w:jc w:val="both"/>
              <w:rPr>
                <w:rFonts w:ascii="Trebuchet MS" w:hAnsi="Trebuchet MS"/>
              </w:rPr>
            </w:pPr>
            <w:r>
              <w:rPr>
                <w:rFonts w:ascii="Trebuchet MS" w:hAnsi="Trebuchet MS"/>
              </w:rPr>
              <w:lastRenderedPageBreak/>
              <w:t>În acest context</w:t>
            </w:r>
            <w:r w:rsidR="000D56B2">
              <w:rPr>
                <w:rFonts w:ascii="Trebuchet MS" w:hAnsi="Trebuchet MS"/>
              </w:rPr>
              <w:t>,</w:t>
            </w:r>
            <w:r>
              <w:rPr>
                <w:rFonts w:ascii="Trebuchet MS" w:hAnsi="Trebuchet MS"/>
              </w:rPr>
              <w:t xml:space="preserve"> este evident</w:t>
            </w:r>
            <w:r w:rsidR="000D56B2">
              <w:rPr>
                <w:rFonts w:ascii="Trebuchet MS" w:hAnsi="Trebuchet MS"/>
              </w:rPr>
              <w:t>ă nevoia (N5),</w:t>
            </w:r>
            <w:r w:rsidR="00B77EC2" w:rsidRPr="00B77EC2">
              <w:rPr>
                <w:rFonts w:ascii="Trebuchet MS" w:hAnsi="Trebuchet MS"/>
              </w:rPr>
              <w:t>„Necesitatea  diversificării activităţilor în</w:t>
            </w:r>
          </w:p>
          <w:p w:rsidR="00CA7A8F" w:rsidRPr="00CA7A8F" w:rsidRDefault="00CA7A8F" w:rsidP="00B07BC8">
            <w:pPr>
              <w:spacing w:line="276" w:lineRule="auto"/>
              <w:jc w:val="both"/>
              <w:rPr>
                <w:rFonts w:ascii="Trebuchet MS" w:hAnsi="Trebuchet MS" w:cs="Arial"/>
              </w:rPr>
            </w:pPr>
            <w:r w:rsidRPr="00CA7A8F">
              <w:rPr>
                <w:rFonts w:ascii="Trebuchet MS" w:hAnsi="Trebuchet MS" w:cs="Arial"/>
              </w:rPr>
              <w:t xml:space="preserve">agricultură, valorificarea oportunităţilor de dezvoltare şi creşterea atractivităţii zonei”. Şi deasemeni este necesară încurajarea iniţiativelor şi crearea de </w:t>
            </w:r>
            <w:r>
              <w:rPr>
                <w:rFonts w:ascii="Trebuchet MS" w:hAnsi="Trebuchet MS" w:cs="Arial"/>
              </w:rPr>
              <w:t>locuri de muncă, nevoia  N(2) „N</w:t>
            </w:r>
            <w:r w:rsidRPr="00CA7A8F">
              <w:rPr>
                <w:rFonts w:ascii="Trebuchet MS" w:hAnsi="Trebuchet MS" w:cs="Arial"/>
              </w:rPr>
              <w:t>ecesitatea valorificării resurselor locale pentru crearea de noi locuri de muncă”.</w:t>
            </w:r>
          </w:p>
          <w:p w:rsidR="00CA7A8F" w:rsidRPr="00CA7A8F" w:rsidRDefault="00CA7A8F" w:rsidP="00B07BC8">
            <w:pPr>
              <w:spacing w:line="276" w:lineRule="auto"/>
              <w:jc w:val="both"/>
              <w:rPr>
                <w:rFonts w:ascii="Trebuchet MS" w:hAnsi="Trebuchet MS" w:cs="Arial"/>
              </w:rPr>
            </w:pPr>
            <w:r w:rsidRPr="00CA7A8F">
              <w:rPr>
                <w:rFonts w:ascii="Trebuchet MS" w:hAnsi="Trebuchet MS" w:cs="Arial"/>
              </w:rPr>
              <w:t xml:space="preserve">Analiză efectuată în primăriile care compun teritoriul acoperit de GAL Dobrogea Centrală a demonstrat că </w:t>
            </w:r>
            <w:r>
              <w:rPr>
                <w:rFonts w:ascii="Trebuchet MS" w:hAnsi="Trebuchet MS" w:cs="Arial"/>
              </w:rPr>
              <w:t>nu există un mecanism de evidenț</w:t>
            </w:r>
            <w:r w:rsidRPr="00CA7A8F">
              <w:rPr>
                <w:rFonts w:ascii="Trebuchet MS" w:hAnsi="Trebuchet MS" w:cs="Arial"/>
              </w:rPr>
              <w:t>iere şi evaluare corectă a Pr</w:t>
            </w:r>
            <w:r>
              <w:rPr>
                <w:rFonts w:ascii="Trebuchet MS" w:hAnsi="Trebuchet MS" w:cs="Arial"/>
              </w:rPr>
              <w:t>odusului Local Brut. Din analiza</w:t>
            </w:r>
            <w:r w:rsidRPr="00CA7A8F">
              <w:rPr>
                <w:rFonts w:ascii="Trebuchet MS" w:hAnsi="Trebuchet MS" w:cs="Arial"/>
              </w:rPr>
              <w:t xml:space="preserve"> bugetului local se demonstrează că sectorul agricol influenţează bugetul cu mai pu</w:t>
            </w:r>
            <w:r>
              <w:rPr>
                <w:rFonts w:ascii="Trebuchet MS" w:hAnsi="Trebuchet MS" w:cs="Arial"/>
              </w:rPr>
              <w:t xml:space="preserve">ţin de 20%, sectorul comercial </w:t>
            </w:r>
            <w:r w:rsidRPr="00CA7A8F">
              <w:rPr>
                <w:rFonts w:ascii="Trebuchet MS" w:hAnsi="Trebuchet MS" w:cs="Arial"/>
              </w:rPr>
              <w:t>cu 3-4%, sectorul servicii sub 0,3%. În fapt, această influenţă provine din taxe şi impozite. Venitul mediu este influenţat şi de gospodăriile individuale care asigura sursă de produse pentru consumul propriu.</w:t>
            </w:r>
          </w:p>
          <w:p w:rsidR="00CA7A8F" w:rsidRPr="00CA7A8F" w:rsidRDefault="00CA7A8F" w:rsidP="00B07BC8">
            <w:pPr>
              <w:spacing w:line="276" w:lineRule="auto"/>
              <w:jc w:val="both"/>
              <w:rPr>
                <w:rFonts w:ascii="Trebuchet MS" w:hAnsi="Trebuchet MS" w:cs="Arial"/>
              </w:rPr>
            </w:pPr>
            <w:r>
              <w:rPr>
                <w:rFonts w:ascii="Trebuchet MS" w:hAnsi="Trebuchet MS" w:cs="Arial"/>
              </w:rPr>
              <w:t>Agricultura</w:t>
            </w:r>
          </w:p>
          <w:p w:rsidR="00CA7A8F" w:rsidRPr="00CA7A8F" w:rsidRDefault="00CA7A8F" w:rsidP="00B07BC8">
            <w:pPr>
              <w:spacing w:line="276" w:lineRule="auto"/>
              <w:jc w:val="both"/>
              <w:rPr>
                <w:rFonts w:ascii="Trebuchet MS" w:hAnsi="Trebuchet MS" w:cs="Arial"/>
              </w:rPr>
            </w:pPr>
            <w:r>
              <w:rPr>
                <w:rFonts w:ascii="Trebuchet MS" w:hAnsi="Trebuchet MS" w:cs="Arial"/>
              </w:rPr>
              <w:t>Agricultura</w:t>
            </w:r>
            <w:r w:rsidRPr="00CA7A8F">
              <w:rPr>
                <w:rFonts w:ascii="Trebuchet MS" w:hAnsi="Trebuchet MS" w:cs="Arial"/>
              </w:rPr>
              <w:t xml:space="preserve"> este principala ramură economică locală, există 9767 exploataţii agricole (sursă INSSE) (ind C17/808). Exploataţiile agricole se confruntă cu nivel redus de productivitate şi calitate a produselor datorită subdotarii tehnologice sau utilizării  tehnologiei învechite. În multe exploataţii încă se lucrează cu vechile tractoare U650 şi gama de maşini aferen</w:t>
            </w:r>
            <w:r>
              <w:rPr>
                <w:rFonts w:ascii="Trebuchet MS" w:hAnsi="Trebuchet MS" w:cs="Arial"/>
              </w:rPr>
              <w:t>tă, la fel de veche. Agricultura</w:t>
            </w:r>
            <w:r w:rsidRPr="00CA7A8F">
              <w:rPr>
                <w:rFonts w:ascii="Trebuchet MS" w:hAnsi="Trebuchet MS" w:cs="Arial"/>
              </w:rPr>
              <w:t xml:space="preserve"> înregistrează numeroase deficienţe de performanţă şi competitivitate, caracterist</w:t>
            </w:r>
            <w:r>
              <w:rPr>
                <w:rFonts w:ascii="Trebuchet MS" w:hAnsi="Trebuchet MS" w:cs="Arial"/>
              </w:rPr>
              <w:t>ică</w:t>
            </w:r>
            <w:r w:rsidRPr="00CA7A8F">
              <w:rPr>
                <w:rFonts w:ascii="Trebuchet MS" w:hAnsi="Trebuchet MS" w:cs="Arial"/>
              </w:rPr>
              <w:t xml:space="preserve"> î</w:t>
            </w:r>
            <w:r>
              <w:rPr>
                <w:rFonts w:ascii="Trebuchet MS" w:hAnsi="Trebuchet MS" w:cs="Arial"/>
              </w:rPr>
              <w:t>n concordanţă cu nevoile N4 „N</w:t>
            </w:r>
            <w:r w:rsidRPr="00CA7A8F">
              <w:rPr>
                <w:rFonts w:ascii="Trebuchet MS" w:hAnsi="Trebuchet MS" w:cs="Arial"/>
              </w:rPr>
              <w:t>ecesitatea unui management întinerit şi a</w:t>
            </w:r>
            <w:r>
              <w:rPr>
                <w:rFonts w:ascii="Trebuchet MS" w:hAnsi="Trebuchet MS" w:cs="Arial"/>
              </w:rPr>
              <w:t xml:space="preserve">ntreprenoriat competitiv” şi N6 </w:t>
            </w:r>
            <w:r w:rsidRPr="00CA7A8F">
              <w:rPr>
                <w:rFonts w:ascii="Trebuchet MS" w:hAnsi="Trebuchet MS" w:cs="Arial"/>
              </w:rPr>
              <w:t xml:space="preserve">„ Îmbunătăţirea competitivităţii prin retehnologizare”. Tipul de agricultură practicat este lipsit de elementele </w:t>
            </w:r>
            <w:r>
              <w:rPr>
                <w:rFonts w:ascii="Trebuchet MS" w:hAnsi="Trebuchet MS" w:cs="Arial"/>
              </w:rPr>
              <w:t xml:space="preserve"> tehnologiei moderne, de  </w:t>
            </w:r>
            <w:r w:rsidRPr="00CA7A8F">
              <w:rPr>
                <w:rFonts w:ascii="Trebuchet MS" w:hAnsi="Trebuchet MS" w:cs="Arial"/>
              </w:rPr>
              <w:t>compete</w:t>
            </w:r>
            <w:r>
              <w:rPr>
                <w:rFonts w:ascii="Trebuchet MS" w:hAnsi="Trebuchet MS" w:cs="Arial"/>
              </w:rPr>
              <w:t>nţele</w:t>
            </w:r>
            <w:r w:rsidRPr="00CA7A8F">
              <w:rPr>
                <w:rFonts w:ascii="Trebuchet MS" w:hAnsi="Trebuchet MS" w:cs="Arial"/>
              </w:rPr>
              <w:t xml:space="preserve"> specializate</w:t>
            </w:r>
            <w:r>
              <w:rPr>
                <w:rFonts w:ascii="Trebuchet MS" w:hAnsi="Trebuchet MS" w:cs="Arial"/>
              </w:rPr>
              <w:t>,</w:t>
            </w:r>
            <w:r w:rsidRPr="00CA7A8F">
              <w:rPr>
                <w:rFonts w:ascii="Trebuchet MS" w:hAnsi="Trebuchet MS" w:cs="Arial"/>
              </w:rPr>
              <w:t xml:space="preserve"> ceea ce duce la obţinerea produselor primare d</w:t>
            </w:r>
            <w:r>
              <w:rPr>
                <w:rFonts w:ascii="Trebuchet MS" w:hAnsi="Trebuchet MS" w:cs="Arial"/>
              </w:rPr>
              <w:t>e calitate slabă. Caracteristica care a generat nevoia N8 „A</w:t>
            </w:r>
            <w:r w:rsidRPr="00CA7A8F">
              <w:rPr>
                <w:rFonts w:ascii="Trebuchet MS" w:hAnsi="Trebuchet MS" w:cs="Arial"/>
              </w:rPr>
              <w:t>testarea calităţii prod</w:t>
            </w:r>
            <w:r>
              <w:rPr>
                <w:rFonts w:ascii="Trebuchet MS" w:hAnsi="Trebuchet MS" w:cs="Arial"/>
              </w:rPr>
              <w:t>uselor locale”. Pe lângă cultura</w:t>
            </w:r>
            <w:r w:rsidRPr="00CA7A8F">
              <w:rPr>
                <w:rFonts w:ascii="Trebuchet MS" w:hAnsi="Trebuchet MS" w:cs="Arial"/>
              </w:rPr>
              <w:t xml:space="preserve"> mare care acoperă peste</w:t>
            </w:r>
            <w:r>
              <w:rPr>
                <w:rFonts w:ascii="Trebuchet MS" w:hAnsi="Trebuchet MS" w:cs="Arial"/>
              </w:rPr>
              <w:t xml:space="preserve"> 95% din suprafaţă se identifică</w:t>
            </w:r>
            <w:r w:rsidRPr="00CA7A8F">
              <w:rPr>
                <w:rFonts w:ascii="Trebuchet MS" w:hAnsi="Trebuchet MS" w:cs="Arial"/>
              </w:rPr>
              <w:t>: vii şi pepiniere care o</w:t>
            </w:r>
            <w:r>
              <w:rPr>
                <w:rFonts w:ascii="Trebuchet MS" w:hAnsi="Trebuchet MS" w:cs="Arial"/>
              </w:rPr>
              <w:t>cupă 3284 ha un procent de 2.9%,</w:t>
            </w:r>
            <w:r w:rsidRPr="00CA7A8F">
              <w:rPr>
                <w:rFonts w:ascii="Trebuchet MS" w:hAnsi="Trebuchet MS" w:cs="Arial"/>
              </w:rPr>
              <w:t xml:space="preserve"> livezi şi pepiniere pomicole – 891 ha reprezintă doar 0,7%. Aceaste suprafeţe sunt foarte mici comparativ cu potenţialul şi tradiţia locală în producerea de</w:t>
            </w:r>
            <w:r>
              <w:rPr>
                <w:rFonts w:ascii="Trebuchet MS" w:hAnsi="Trebuchet MS" w:cs="Arial"/>
              </w:rPr>
              <w:t xml:space="preserve"> fructe şi legume. Se identifică nevoia (N14/808) „R</w:t>
            </w:r>
            <w:r w:rsidRPr="00CA7A8F">
              <w:rPr>
                <w:rFonts w:ascii="Trebuchet MS" w:hAnsi="Trebuchet MS" w:cs="Arial"/>
              </w:rPr>
              <w:t>efacerea bazinului pomicol şi legumi</w:t>
            </w:r>
            <w:r>
              <w:rPr>
                <w:rFonts w:ascii="Trebuchet MS" w:hAnsi="Trebuchet MS" w:cs="Arial"/>
              </w:rPr>
              <w:t>col”. Pe de altă parte suprafaţa</w:t>
            </w:r>
            <w:r w:rsidRPr="00CA7A8F">
              <w:rPr>
                <w:rFonts w:ascii="Trebuchet MS" w:hAnsi="Trebuchet MS" w:cs="Arial"/>
              </w:rPr>
              <w:t xml:space="preserve"> mare acoperită cu culturi </w:t>
            </w:r>
            <w:r>
              <w:rPr>
                <w:rFonts w:ascii="Trebuchet MS" w:hAnsi="Trebuchet MS" w:cs="Arial"/>
              </w:rPr>
              <w:t>de câmp a generat nevoia (N7) „V</w:t>
            </w:r>
            <w:r w:rsidRPr="00CA7A8F">
              <w:rPr>
                <w:rFonts w:ascii="Trebuchet MS" w:hAnsi="Trebuchet MS" w:cs="Arial"/>
              </w:rPr>
              <w:t>alorificarea resurselor naturale şi a produselor secundare pentru obţinerea energiei regenerabile”.</w:t>
            </w:r>
          </w:p>
          <w:p w:rsidR="00CA7A8F" w:rsidRPr="00CA7A8F" w:rsidRDefault="00CA7A8F" w:rsidP="00B07BC8">
            <w:pPr>
              <w:spacing w:line="276" w:lineRule="auto"/>
              <w:jc w:val="both"/>
              <w:rPr>
                <w:rFonts w:ascii="Trebuchet MS" w:hAnsi="Trebuchet MS" w:cs="Arial"/>
              </w:rPr>
            </w:pPr>
            <w:r w:rsidRPr="00CA7A8F">
              <w:rPr>
                <w:rFonts w:ascii="Trebuchet MS" w:hAnsi="Trebuchet MS" w:cs="Arial"/>
              </w:rPr>
              <w:t>Păşunile şi fâneţele, cu o suprafaţă de  19428 ha, ocupă u</w:t>
            </w:r>
            <w:r>
              <w:rPr>
                <w:rFonts w:ascii="Trebuchet MS" w:hAnsi="Trebuchet MS" w:cs="Arial"/>
              </w:rPr>
              <w:t>n procent de 17.2% din suprafaţa</w:t>
            </w:r>
            <w:r w:rsidRPr="00CA7A8F">
              <w:rPr>
                <w:rFonts w:ascii="Trebuchet MS" w:hAnsi="Trebuchet MS" w:cs="Arial"/>
              </w:rPr>
              <w:t xml:space="preserve"> arabilă a teritoriului şi asigura păşunatul pentru 1838 ferme zootehnice.</w:t>
            </w:r>
          </w:p>
          <w:p w:rsidR="00CA7A8F" w:rsidRPr="00CA7A8F" w:rsidRDefault="00CA7A8F" w:rsidP="00B07BC8">
            <w:pPr>
              <w:spacing w:line="276" w:lineRule="auto"/>
              <w:jc w:val="both"/>
              <w:rPr>
                <w:rFonts w:ascii="Trebuchet MS" w:hAnsi="Trebuchet MS" w:cs="Arial"/>
              </w:rPr>
            </w:pPr>
            <w:r>
              <w:rPr>
                <w:rFonts w:ascii="Trebuchet MS" w:hAnsi="Trebuchet MS" w:cs="Arial"/>
              </w:rPr>
              <w:t>Analiza</w:t>
            </w:r>
            <w:r w:rsidRPr="00CA7A8F">
              <w:rPr>
                <w:rFonts w:ascii="Trebuchet MS" w:hAnsi="Trebuchet MS" w:cs="Arial"/>
              </w:rPr>
              <w:t xml:space="preserve"> datelor din te</w:t>
            </w:r>
            <w:r>
              <w:rPr>
                <w:rFonts w:ascii="Trebuchet MS" w:hAnsi="Trebuchet MS" w:cs="Arial"/>
              </w:rPr>
              <w:t>ritoriu demonstrează încărcătura</w:t>
            </w:r>
            <w:r w:rsidRPr="00CA7A8F">
              <w:rPr>
                <w:rFonts w:ascii="Trebuchet MS" w:hAnsi="Trebuchet MS" w:cs="Arial"/>
              </w:rPr>
              <w:t xml:space="preserve"> de animale pe cap de locuitor: 1.27 animal letier-lapte (taurine+ovine) / locuitor = 10116 UVM (ind C21/808); 0.38 animale carne (porci) / locuitor = 5233 UVM; 2.14 păsări / locuitor = 1511 UVM (ind C35/808). Dimensionarea exploataţiilor:  40.4 % gospodării de subzistenţă sub 2500 SO; 30,9 % de semisubzistenţă între 2500 şi 9000 SO; 20,3 % exploataţii între 9000 şi 65000 de SO, considerate economice, 6,15 % sunt exploataţii între 65000 şi 150000 de SO; 2,25 % mari întreprinderi agricole unele dintre acestea depăşesc 400000 de SO. </w:t>
            </w:r>
          </w:p>
          <w:p w:rsidR="00DF29FE" w:rsidRDefault="00CA7A8F" w:rsidP="00B07BC8">
            <w:pPr>
              <w:spacing w:line="276" w:lineRule="auto"/>
              <w:jc w:val="both"/>
              <w:rPr>
                <w:rFonts w:ascii="Trebuchet MS" w:hAnsi="Trebuchet MS"/>
                <w:b/>
              </w:rPr>
            </w:pPr>
            <w:r w:rsidRPr="00CA7A8F">
              <w:rPr>
                <w:rFonts w:ascii="Trebuchet MS" w:hAnsi="Trebuchet MS" w:cs="Arial"/>
              </w:rPr>
              <w:t>În teritoriu  există o singură cooperativă Ovidun</w:t>
            </w:r>
            <w:r>
              <w:rPr>
                <w:rFonts w:ascii="Trebuchet MS" w:hAnsi="Trebuchet MS" w:cs="Arial"/>
              </w:rPr>
              <w:t>ă</w:t>
            </w:r>
            <w:r w:rsidRPr="00CA7A8F">
              <w:rPr>
                <w:rFonts w:ascii="Trebuchet MS" w:hAnsi="Trebuchet MS" w:cs="Arial"/>
              </w:rPr>
              <w:t>rea Rasova, absenţa formelor asociative generează nevoia (N9) „Creşterea numărului de forme de asociere şi coperare”. Promovarea cooperării între producători, procesatori şi comercianţi  prin  investiţii colective duce la prosperitate personală şi a comunităţii prin c</w:t>
            </w:r>
            <w:r w:rsidR="00B07BC8">
              <w:rPr>
                <w:rFonts w:ascii="Trebuchet MS" w:hAnsi="Trebuchet MS" w:cs="Arial"/>
              </w:rPr>
              <w:t>r</w:t>
            </w:r>
            <w:r w:rsidRPr="00CA7A8F">
              <w:rPr>
                <w:rFonts w:ascii="Trebuchet MS" w:hAnsi="Trebuchet MS" w:cs="Arial"/>
              </w:rPr>
              <w:t>earea unor facilităţi de marketing organizat în scopul scurtării lanţului de aprovizi</w:t>
            </w:r>
            <w:r w:rsidR="00B07BC8">
              <w:rPr>
                <w:rFonts w:ascii="Trebuchet MS" w:hAnsi="Trebuchet MS" w:cs="Arial"/>
              </w:rPr>
              <w:t>onare şi comercializare, aceasta generează nevoia (N10) „N</w:t>
            </w:r>
            <w:r w:rsidRPr="00CA7A8F">
              <w:rPr>
                <w:rFonts w:ascii="Trebuchet MS" w:hAnsi="Trebuchet MS" w:cs="Arial"/>
              </w:rPr>
              <w:t>ecesitatea infrastructurii comerciale  pentru practicarea unui marketing organizat”.</w:t>
            </w:r>
          </w:p>
        </w:tc>
      </w:tr>
    </w:tbl>
    <w:p w:rsidR="00077689" w:rsidRPr="00C17195" w:rsidRDefault="00077689" w:rsidP="00B07BC8">
      <w:pPr>
        <w:spacing w:after="0"/>
        <w:jc w:val="both"/>
        <w:rPr>
          <w:rFonts w:ascii="Trebuchet MS" w:hAnsi="Trebuchet MS" w:cs="TimesNewRomanPSMT"/>
        </w:rPr>
      </w:pPr>
    </w:p>
    <w:p w:rsidR="00E922A6" w:rsidRDefault="00E922A6" w:rsidP="00B07BC8">
      <w:pPr>
        <w:spacing w:after="0"/>
        <w:jc w:val="both"/>
        <w:outlineLvl w:val="4"/>
        <w:rPr>
          <w:rFonts w:ascii="Trebuchet MS" w:hAnsi="Trebuchet MS"/>
        </w:rPr>
      </w:pPr>
    </w:p>
    <w:tbl>
      <w:tblPr>
        <w:tblStyle w:val="TableGrid"/>
        <w:tblW w:w="0" w:type="auto"/>
        <w:tblLook w:val="04A0" w:firstRow="1" w:lastRow="0" w:firstColumn="1" w:lastColumn="0" w:noHBand="0" w:noVBand="1"/>
      </w:tblPr>
      <w:tblGrid>
        <w:gridCol w:w="9242"/>
      </w:tblGrid>
      <w:tr w:rsidR="00E922A6" w:rsidTr="00273DA0">
        <w:trPr>
          <w:trHeight w:val="11420"/>
        </w:trPr>
        <w:tc>
          <w:tcPr>
            <w:tcW w:w="9242" w:type="dxa"/>
            <w:tcBorders>
              <w:bottom w:val="single" w:sz="4" w:space="0" w:color="auto"/>
            </w:tcBorders>
          </w:tcPr>
          <w:p w:rsidR="00E922A6" w:rsidRPr="00C17195" w:rsidRDefault="00E922A6" w:rsidP="004A1F33">
            <w:pPr>
              <w:spacing w:line="276" w:lineRule="auto"/>
              <w:jc w:val="both"/>
              <w:rPr>
                <w:rFonts w:ascii="Trebuchet MS" w:eastAsia="Times New Roman" w:hAnsi="Trebuchet MS" w:cs="Times New Roman"/>
                <w:b/>
              </w:rPr>
            </w:pPr>
            <w:r w:rsidRPr="00C17195">
              <w:rPr>
                <w:rFonts w:ascii="Trebuchet MS" w:eastAsia="Times New Roman" w:hAnsi="Trebuchet MS" w:cs="Times New Roman"/>
                <w:b/>
              </w:rPr>
              <w:lastRenderedPageBreak/>
              <w:t xml:space="preserve">Geografie </w:t>
            </w:r>
          </w:p>
          <w:p w:rsidR="00B07BC8" w:rsidRPr="00B07BC8" w:rsidRDefault="00B07BC8" w:rsidP="004A1F33">
            <w:pPr>
              <w:spacing w:line="276" w:lineRule="auto"/>
              <w:jc w:val="both"/>
              <w:outlineLvl w:val="4"/>
              <w:rPr>
                <w:rFonts w:ascii="Trebuchet MS" w:hAnsi="Trebuchet MS"/>
              </w:rPr>
            </w:pPr>
            <w:r w:rsidRPr="00B07BC8">
              <w:rPr>
                <w:rFonts w:ascii="Trebuchet MS" w:hAnsi="Trebuchet MS"/>
              </w:rPr>
              <w:t>Teritoriul GAL Dobrogea Centrală  se află din punct de vedere geomorfologic în Podişul Dobrogei de Sud – Est,  Podişul Medgidie</w:t>
            </w:r>
            <w:r>
              <w:rPr>
                <w:rFonts w:ascii="Trebuchet MS" w:hAnsi="Trebuchet MS"/>
              </w:rPr>
              <w:t>i</w:t>
            </w:r>
            <w:r w:rsidRPr="00B07BC8">
              <w:rPr>
                <w:rFonts w:ascii="Trebuchet MS" w:hAnsi="Trebuchet MS"/>
              </w:rPr>
              <w:t xml:space="preserve"> şi Valea Carasu. Podişul Dobrogei de Sud Est se continuă cu Podişul Casimcei, găzduieşte localităţile situa</w:t>
            </w:r>
            <w:r>
              <w:rPr>
                <w:rFonts w:ascii="Trebuchet MS" w:hAnsi="Trebuchet MS"/>
              </w:rPr>
              <w:t xml:space="preserve">te de-a lungul Dunării şi comuna Casimcea din judeţul Tulcea. </w:t>
            </w:r>
            <w:r w:rsidRPr="00B07BC8">
              <w:rPr>
                <w:rFonts w:ascii="Trebuchet MS" w:hAnsi="Trebuchet MS"/>
              </w:rPr>
              <w:t>Din punct de</w:t>
            </w:r>
            <w:r>
              <w:rPr>
                <w:rFonts w:ascii="Trebuchet MS" w:hAnsi="Trebuchet MS"/>
              </w:rPr>
              <w:t xml:space="preserve"> vedere geomorfologic, suprafaţa</w:t>
            </w:r>
            <w:r w:rsidRPr="00B07BC8">
              <w:rPr>
                <w:rFonts w:ascii="Trebuchet MS" w:hAnsi="Trebuchet MS"/>
              </w:rPr>
              <w:t xml:space="preserve"> teritoriului</w:t>
            </w:r>
            <w:r>
              <w:rPr>
                <w:rFonts w:ascii="Trebuchet MS" w:hAnsi="Trebuchet MS"/>
              </w:rPr>
              <w:t xml:space="preserve"> </w:t>
            </w:r>
            <w:r w:rsidRPr="00B07BC8">
              <w:rPr>
                <w:rFonts w:ascii="Trebuchet MS" w:hAnsi="Trebuchet MS"/>
              </w:rPr>
              <w:t>aparţine Podişului Prebalc</w:t>
            </w:r>
            <w:r>
              <w:rPr>
                <w:rFonts w:ascii="Trebuchet MS" w:hAnsi="Trebuchet MS"/>
              </w:rPr>
              <w:t>anic, individualizându-se ca</w:t>
            </w:r>
            <w:r w:rsidRPr="00B07BC8">
              <w:rPr>
                <w:rFonts w:ascii="Trebuchet MS" w:hAnsi="Trebuchet MS"/>
              </w:rPr>
              <w:t xml:space="preserve"> Podişul Dobrogean. Podişul Medgidiei este podişul cu altitudinea cea mai redusă din ansamblul celor care constituie judeţul Constanţa. Altitudinea  scade de la nord (120m) la sud (în Valea Carasu 9-10m) şi de la est (45m) la vest (12m). Configuraţia reliefului se caracterizează printr-o mare fragmentare datorită văilor cu fundul plat şi a interfluviilor cu aspect de dealuri uşor ondulate ce coboară în pantă domoală spre culo</w:t>
            </w:r>
            <w:r>
              <w:rPr>
                <w:rFonts w:ascii="Trebuchet MS" w:hAnsi="Trebuchet MS"/>
              </w:rPr>
              <w:t xml:space="preserve">arul Carasu dar şi spre Dunăre. </w:t>
            </w:r>
            <w:r w:rsidRPr="00B07BC8">
              <w:rPr>
                <w:rFonts w:ascii="Trebuchet MS" w:hAnsi="Trebuchet MS"/>
              </w:rPr>
              <w:t>Pantele</w:t>
            </w:r>
            <w:r>
              <w:rPr>
                <w:rFonts w:ascii="Trebuchet MS" w:hAnsi="Trebuchet MS"/>
              </w:rPr>
              <w:t xml:space="preserve"> </w:t>
            </w:r>
            <w:r w:rsidRPr="00B07BC8">
              <w:rPr>
                <w:rFonts w:ascii="Trebuchet MS" w:hAnsi="Trebuchet MS"/>
              </w:rPr>
              <w:t>dominante sunt între  5%, şi 12%, situaţie în care apare eroziune prin apă, podişurile au altitudini cuprinse între 54 m şi 120.</w:t>
            </w:r>
          </w:p>
          <w:p w:rsidR="00B07BC8" w:rsidRPr="00B07BC8" w:rsidRDefault="00B07BC8" w:rsidP="004A1F33">
            <w:pPr>
              <w:spacing w:line="276" w:lineRule="auto"/>
              <w:jc w:val="both"/>
              <w:outlineLvl w:val="4"/>
              <w:rPr>
                <w:rFonts w:ascii="Trebuchet MS" w:hAnsi="Trebuchet MS"/>
              </w:rPr>
            </w:pPr>
            <w:r w:rsidRPr="00B07BC8">
              <w:rPr>
                <w:rFonts w:ascii="Trebuchet MS" w:hAnsi="Trebuchet MS"/>
              </w:rPr>
              <w:t>Caracteristici climatice</w:t>
            </w:r>
          </w:p>
          <w:p w:rsidR="00B07BC8" w:rsidRPr="00B07BC8" w:rsidRDefault="00B07BC8" w:rsidP="004A1F33">
            <w:pPr>
              <w:spacing w:line="276" w:lineRule="auto"/>
              <w:jc w:val="both"/>
              <w:outlineLvl w:val="4"/>
              <w:rPr>
                <w:rFonts w:ascii="Trebuchet MS" w:hAnsi="Trebuchet MS"/>
              </w:rPr>
            </w:pPr>
            <w:r>
              <w:rPr>
                <w:rFonts w:ascii="Trebuchet MS" w:hAnsi="Trebuchet MS"/>
              </w:rPr>
              <w:t>Clima</w:t>
            </w:r>
            <w:r w:rsidRPr="00B07BC8">
              <w:rPr>
                <w:rFonts w:ascii="Trebuchet MS" w:hAnsi="Trebuchet MS"/>
              </w:rPr>
              <w:t xml:space="preserve"> temperat continentală cu ierni geroase şi veri toride, solul cernoziom, profund, cu resurse serioase de apă freatică</w:t>
            </w:r>
            <w:r>
              <w:rPr>
                <w:rFonts w:ascii="Trebuchet MS" w:hAnsi="Trebuchet MS"/>
              </w:rPr>
              <w:t>,</w:t>
            </w:r>
            <w:r w:rsidRPr="00B07BC8">
              <w:rPr>
                <w:rFonts w:ascii="Trebuchet MS" w:hAnsi="Trebuchet MS"/>
              </w:rPr>
              <w:t xml:space="preserve"> dar la mare adâncime, teritoriul face parte din zona agro-climatică I, caldă-secetoasă, care se caracterizează prin cele mai generoase resurse termice, media anuală fiind 11</w:t>
            </w:r>
            <w:r>
              <w:rPr>
                <w:rFonts w:ascii="Trebuchet MS" w:hAnsi="Trebuchet MS"/>
              </w:rPr>
              <w:t xml:space="preserve"> </w:t>
            </w:r>
            <w:r w:rsidRPr="00B07BC8">
              <w:rPr>
                <w:rFonts w:ascii="Trebuchet MS" w:hAnsi="Trebuchet MS"/>
              </w:rPr>
              <w:t>gr</w:t>
            </w:r>
            <w:r>
              <w:rPr>
                <w:rFonts w:ascii="Trebuchet MS" w:hAnsi="Trebuchet MS"/>
              </w:rPr>
              <w:t>a</w:t>
            </w:r>
            <w:r w:rsidRPr="00B07BC8">
              <w:rPr>
                <w:rFonts w:ascii="Trebuchet MS" w:hAnsi="Trebuchet MS"/>
              </w:rPr>
              <w:t>d</w:t>
            </w:r>
            <w:r>
              <w:rPr>
                <w:rFonts w:ascii="Trebuchet MS" w:hAnsi="Trebuchet MS"/>
              </w:rPr>
              <w:t>e</w:t>
            </w:r>
            <w:r w:rsidRPr="00B07BC8">
              <w:rPr>
                <w:rFonts w:ascii="Trebuchet MS" w:hAnsi="Trebuchet MS"/>
              </w:rPr>
              <w:t xml:space="preserve"> C, dar şi prin precipitaţiile reduse care variază de la 300 mm până la 400-450 mm, în anii secetoşi ajungând la 200-250 mm, durata de strălucire a soarelui, este cuprinsă între 2.150 ore/an şi 3.000 ore/an, aici se înregistrează şi cele mai mari valori</w:t>
            </w:r>
            <w:r>
              <w:rPr>
                <w:rFonts w:ascii="Trebuchet MS" w:hAnsi="Trebuchet MS"/>
              </w:rPr>
              <w:t xml:space="preserve"> ale radiaţiei solare. Umezeala </w:t>
            </w:r>
            <w:r w:rsidRPr="00B07BC8">
              <w:rPr>
                <w:rFonts w:ascii="Trebuchet MS" w:hAnsi="Trebuchet MS"/>
              </w:rPr>
              <w:t>relativă a aerului este de 84%-85%, produsă pe fondul frecvenţei maxime a perioadelor secetoase şi a pluviozităţi</w:t>
            </w:r>
            <w:r>
              <w:rPr>
                <w:rFonts w:ascii="Trebuchet MS" w:hAnsi="Trebuchet MS"/>
              </w:rPr>
              <w:t>i</w:t>
            </w:r>
            <w:r w:rsidRPr="00B07BC8">
              <w:rPr>
                <w:rFonts w:ascii="Trebuchet MS" w:hAnsi="Trebuchet MS"/>
              </w:rPr>
              <w:t xml:space="preserve"> celei mai reduse de pe teritoriul ţării, un rol major în repartiţia umezelii relative revine circulaţiei periodice locale a aerului sub formă de brize</w:t>
            </w:r>
            <w:r>
              <w:rPr>
                <w:rFonts w:ascii="Trebuchet MS" w:hAnsi="Trebuchet MS"/>
              </w:rPr>
              <w:t>,</w:t>
            </w:r>
            <w:r w:rsidRPr="00B07BC8">
              <w:rPr>
                <w:rFonts w:ascii="Trebuchet MS" w:hAnsi="Trebuchet MS"/>
              </w:rPr>
              <w:t xml:space="preserve"> în principal a celor dinspre mare din intervalul diurn. Necesitatea ut</w:t>
            </w:r>
            <w:r>
              <w:rPr>
                <w:rFonts w:ascii="Trebuchet MS" w:hAnsi="Trebuchet MS"/>
              </w:rPr>
              <w:t>iliză</w:t>
            </w:r>
            <w:r w:rsidRPr="00B07BC8">
              <w:rPr>
                <w:rFonts w:ascii="Trebuchet MS" w:hAnsi="Trebuchet MS"/>
              </w:rPr>
              <w:t xml:space="preserve">rii acestor </w:t>
            </w:r>
            <w:r>
              <w:rPr>
                <w:rFonts w:ascii="Trebuchet MS" w:hAnsi="Trebuchet MS"/>
              </w:rPr>
              <w:t>resurse a generat nevoia (N7) „V</w:t>
            </w:r>
            <w:r w:rsidRPr="00B07BC8">
              <w:rPr>
                <w:rFonts w:ascii="Trebuchet MS" w:hAnsi="Trebuchet MS"/>
              </w:rPr>
              <w:t>alorificarea resurselor naturale şi a produselor secundare pentru obţinerea energiei regenerabile”</w:t>
            </w:r>
            <w:r>
              <w:rPr>
                <w:rFonts w:ascii="Trebuchet MS" w:hAnsi="Trebuchet MS"/>
              </w:rPr>
              <w:t>.</w:t>
            </w:r>
          </w:p>
          <w:p w:rsidR="00B07BC8" w:rsidRPr="00B07BC8" w:rsidRDefault="00B07BC8" w:rsidP="004A1F33">
            <w:pPr>
              <w:spacing w:line="276" w:lineRule="auto"/>
              <w:jc w:val="both"/>
              <w:outlineLvl w:val="4"/>
              <w:rPr>
                <w:rFonts w:ascii="Trebuchet MS" w:hAnsi="Trebuchet MS"/>
              </w:rPr>
            </w:pPr>
            <w:r w:rsidRPr="00B07BC8">
              <w:rPr>
                <w:rFonts w:ascii="Trebuchet MS" w:hAnsi="Trebuchet MS"/>
              </w:rPr>
              <w:t>Caracteristici demografice</w:t>
            </w:r>
          </w:p>
          <w:p w:rsidR="00B07BC8" w:rsidRPr="00B07BC8" w:rsidRDefault="00B07BC8" w:rsidP="004A1F33">
            <w:pPr>
              <w:spacing w:line="276" w:lineRule="auto"/>
              <w:jc w:val="both"/>
              <w:outlineLvl w:val="4"/>
              <w:rPr>
                <w:rFonts w:ascii="Trebuchet MS" w:hAnsi="Trebuchet MS"/>
              </w:rPr>
            </w:pPr>
            <w:r w:rsidRPr="00B07BC8">
              <w:rPr>
                <w:rFonts w:ascii="Trebuchet MS" w:hAnsi="Trebuchet MS"/>
              </w:rPr>
              <w:t>La nivelul teritoriulu</w:t>
            </w:r>
            <w:r>
              <w:rPr>
                <w:rFonts w:ascii="Trebuchet MS" w:hAnsi="Trebuchet MS"/>
              </w:rPr>
              <w:t xml:space="preserve">i, populaţia  stabilă ocupată este de </w:t>
            </w:r>
            <w:r w:rsidRPr="00B07BC8">
              <w:rPr>
                <w:rFonts w:ascii="Trebuchet MS" w:hAnsi="Trebuchet MS"/>
              </w:rPr>
              <w:t>11568 locuitori (ind C5/808) şi reprezintă un procent de 30.7% din totalul populaţiei, rată şomajului la nivelul teritoriului este de 7,36% (ind C7/808) cu 3</w:t>
            </w:r>
            <w:r>
              <w:rPr>
                <w:rFonts w:ascii="Trebuchet MS" w:hAnsi="Trebuchet MS"/>
              </w:rPr>
              <w:t>,5% procente mai mare decât rata</w:t>
            </w:r>
            <w:r w:rsidRPr="00B07BC8">
              <w:rPr>
                <w:rFonts w:ascii="Trebuchet MS" w:hAnsi="Trebuchet MS"/>
              </w:rPr>
              <w:t xml:space="preserve"> şomajului la nivel naţional. Structura ocupării forţei de muncă (Ind C11/808): 11568 populaţie stabilă ocupată din care lucrează în agricultură 5729, în construcţii 1301, în industrie 652, comerţ 1404, </w:t>
            </w:r>
            <w:r>
              <w:rPr>
                <w:rFonts w:ascii="Trebuchet MS" w:hAnsi="Trebuchet MS"/>
              </w:rPr>
              <w:t>678 în servicii, jumătate din populaț</w:t>
            </w:r>
            <w:r w:rsidRPr="00B07BC8">
              <w:rPr>
                <w:rFonts w:ascii="Trebuchet MS" w:hAnsi="Trebuchet MS"/>
              </w:rPr>
              <w:t>ia ocupată lucrează în afară teritoriului. Aceste aspect</w:t>
            </w:r>
            <w:r>
              <w:rPr>
                <w:rFonts w:ascii="Trebuchet MS" w:hAnsi="Trebuchet MS"/>
              </w:rPr>
              <w:t xml:space="preserve">e, evidenţiază nevoia comună a </w:t>
            </w:r>
            <w:r w:rsidRPr="00B07BC8">
              <w:rPr>
                <w:rFonts w:ascii="Trebuchet MS" w:hAnsi="Trebuchet MS"/>
              </w:rPr>
              <w:t>teritoriului de creare a oportunităţilor ocupaţionale pentru populaţia locală.</w:t>
            </w:r>
          </w:p>
          <w:p w:rsidR="00B07BC8" w:rsidRPr="00B07BC8" w:rsidRDefault="00B07BC8" w:rsidP="004A1F33">
            <w:pPr>
              <w:spacing w:line="276" w:lineRule="auto"/>
              <w:jc w:val="both"/>
              <w:outlineLvl w:val="4"/>
              <w:rPr>
                <w:rFonts w:ascii="Trebuchet MS" w:hAnsi="Trebuchet MS"/>
              </w:rPr>
            </w:pPr>
            <w:r w:rsidRPr="00B07BC8">
              <w:rPr>
                <w:rFonts w:ascii="Trebuchet MS" w:hAnsi="Trebuchet MS"/>
              </w:rPr>
              <w:t>80% din comunele teritoriului, reprezintă Zone sărace, conform  documentului suport „Lista UAT-urilor cu valorile IDUL”. Din cele 15 comune, 12 (80% din comune) au IDUL mai mic de 55(ind C9/808): Aliman 42,84, Crucea 51.62, Gârliciu 48.14, Mircea Vodă 54.06, Peştera 52.53, Rasova 50.20, Saraiu 42,16, Se</w:t>
            </w:r>
            <w:r>
              <w:rPr>
                <w:rFonts w:ascii="Trebuchet MS" w:hAnsi="Trebuchet MS"/>
              </w:rPr>
              <w:t>imeni 51,53, Topalu</w:t>
            </w:r>
            <w:r w:rsidRPr="00B07BC8">
              <w:rPr>
                <w:rFonts w:ascii="Trebuchet MS" w:hAnsi="Trebuchet MS"/>
              </w:rPr>
              <w:t xml:space="preserve"> 43,99, Casimcea 53,98, Saligny</w:t>
            </w:r>
            <w:r>
              <w:rPr>
                <w:rFonts w:ascii="Trebuchet MS" w:hAnsi="Trebuchet MS"/>
              </w:rPr>
              <w:t xml:space="preserve"> 54,27, Horia 54,72 şi comunele Ciocârlia 55.14, Ghindăreș</w:t>
            </w:r>
            <w:r w:rsidRPr="00B07BC8">
              <w:rPr>
                <w:rFonts w:ascii="Trebuchet MS" w:hAnsi="Trebuchet MS"/>
              </w:rPr>
              <w:t>t</w:t>
            </w:r>
            <w:r>
              <w:rPr>
                <w:rFonts w:ascii="Trebuchet MS" w:hAnsi="Trebuchet MS"/>
              </w:rPr>
              <w:t>i 56.50, Tortoman 58,33,</w:t>
            </w:r>
            <w:r w:rsidRPr="00B07BC8">
              <w:rPr>
                <w:rFonts w:ascii="Trebuchet MS" w:hAnsi="Trebuchet MS"/>
              </w:rPr>
              <w:t xml:space="preserve">  depăşesc limita de 55 a IDUL. </w:t>
            </w:r>
          </w:p>
          <w:p w:rsidR="00B07BC8" w:rsidRPr="00B07BC8" w:rsidRDefault="00B07BC8" w:rsidP="004A1F33">
            <w:pPr>
              <w:spacing w:line="276" w:lineRule="auto"/>
              <w:jc w:val="both"/>
              <w:outlineLvl w:val="4"/>
              <w:rPr>
                <w:rFonts w:ascii="Trebuchet MS" w:hAnsi="Trebuchet MS"/>
              </w:rPr>
            </w:pPr>
            <w:r w:rsidRPr="00B07BC8">
              <w:rPr>
                <w:rFonts w:ascii="Trebuchet MS" w:hAnsi="Trebuchet MS"/>
              </w:rPr>
              <w:t>Această caracteristică evidenţiază nevoia (N1) „Reducerea gradului de sărăcie a populaţiei şi  creşterea nivelului de trăi”.</w:t>
            </w:r>
          </w:p>
          <w:p w:rsidR="00B07BC8" w:rsidRDefault="00B07BC8" w:rsidP="004A1F33">
            <w:pPr>
              <w:spacing w:line="276" w:lineRule="auto"/>
              <w:jc w:val="both"/>
              <w:rPr>
                <w:rFonts w:ascii="Trebuchet MS" w:eastAsia="Times New Roman" w:hAnsi="Trebuchet MS" w:cs="Times New Roman"/>
              </w:rPr>
            </w:pPr>
            <w:r w:rsidRPr="00B07BC8">
              <w:rPr>
                <w:rFonts w:ascii="Trebuchet MS" w:hAnsi="Trebuchet MS"/>
              </w:rPr>
              <w:t xml:space="preserve">Nivelul ridicat de sărăcie al populaţiei este evidenţiat şi de procentul mare </w:t>
            </w:r>
            <w:r w:rsidR="000D56B2">
              <w:rPr>
                <w:rFonts w:ascii="Trebuchet MS" w:hAnsi="Trebuchet MS"/>
              </w:rPr>
              <w:t xml:space="preserve">de </w:t>
            </w:r>
            <w:r w:rsidRPr="00B07BC8">
              <w:rPr>
                <w:rFonts w:ascii="Trebuchet MS" w:hAnsi="Trebuchet MS"/>
              </w:rPr>
              <w:t>(13.8%) al persoanelor beneficiare de aju</w:t>
            </w:r>
            <w:r>
              <w:rPr>
                <w:rFonts w:ascii="Trebuchet MS" w:hAnsi="Trebuchet MS"/>
              </w:rPr>
              <w:t>tor social şi al celor dependent</w:t>
            </w:r>
            <w:r w:rsidRPr="00B07BC8">
              <w:rPr>
                <w:rFonts w:ascii="Trebuchet MS" w:hAnsi="Trebuchet MS"/>
              </w:rPr>
              <w:t xml:space="preserve">e de venitul minim garantat, ceea ce evidenţiază nevoia </w:t>
            </w:r>
            <w:r>
              <w:rPr>
                <w:rFonts w:ascii="Trebuchet MS" w:hAnsi="Trebuchet MS"/>
              </w:rPr>
              <w:t xml:space="preserve"> </w:t>
            </w:r>
            <w:r w:rsidRPr="00B07BC8">
              <w:rPr>
                <w:rFonts w:ascii="Trebuchet MS" w:hAnsi="Trebuchet MS"/>
              </w:rPr>
              <w:t>(N1)</w:t>
            </w:r>
            <w:r>
              <w:rPr>
                <w:rFonts w:ascii="Trebuchet MS" w:hAnsi="Trebuchet MS"/>
              </w:rPr>
              <w:t xml:space="preserve"> </w:t>
            </w:r>
            <w:r w:rsidRPr="00B07BC8">
              <w:rPr>
                <w:rFonts w:ascii="Trebuchet MS" w:hAnsi="Trebuchet MS"/>
              </w:rPr>
              <w:t xml:space="preserve"> „Reducerea gradului de sărăcie a populaţiei şi  creşterea </w:t>
            </w:r>
            <w:r>
              <w:rPr>
                <w:rFonts w:ascii="Trebuchet MS" w:hAnsi="Trebuchet MS"/>
              </w:rPr>
              <w:t xml:space="preserve"> </w:t>
            </w:r>
            <w:r w:rsidRPr="00B07BC8">
              <w:rPr>
                <w:rFonts w:ascii="Trebuchet MS" w:hAnsi="Trebuchet MS"/>
              </w:rPr>
              <w:t xml:space="preserve">nivelului de trăi”. Populaţia din teritoriul GAL Dobrogea Centrală cunoaşte </w:t>
            </w:r>
            <w:r w:rsidR="000D56B2">
              <w:rPr>
                <w:rFonts w:ascii="Trebuchet MS" w:hAnsi="Trebuchet MS"/>
              </w:rPr>
              <w:t xml:space="preserve">astfel </w:t>
            </w:r>
            <w:r w:rsidRPr="00B07BC8">
              <w:rPr>
                <w:rFonts w:ascii="Trebuchet MS" w:hAnsi="Trebuchet MS"/>
              </w:rPr>
              <w:t>un declin</w:t>
            </w:r>
          </w:p>
          <w:p w:rsidR="00974C4D" w:rsidRPr="00974C4D" w:rsidRDefault="00974C4D" w:rsidP="004A1F33">
            <w:pPr>
              <w:spacing w:line="276" w:lineRule="auto"/>
              <w:jc w:val="both"/>
              <w:rPr>
                <w:rFonts w:ascii="Trebuchet MS" w:eastAsia="Times New Roman" w:hAnsi="Trebuchet MS" w:cs="Times New Roman"/>
              </w:rPr>
            </w:pPr>
            <w:r w:rsidRPr="00974C4D">
              <w:rPr>
                <w:rFonts w:ascii="Trebuchet MS" w:eastAsia="Times New Roman" w:hAnsi="Trebuchet MS" w:cs="Times New Roman"/>
              </w:rPr>
              <w:lastRenderedPageBreak/>
              <w:t>demografic, fiind în continuă scădere şi în curs de îmbătrânire. În conformitate cu datele statistice furnizate de INSSE, populaţia totală  a GAL Dobrogea Centrală la Recensământul Populaţiei şi al Locuinţelor 2011 era de 3762</w:t>
            </w:r>
            <w:r w:rsidR="00346D09">
              <w:rPr>
                <w:rFonts w:ascii="Trebuchet MS" w:eastAsia="Times New Roman" w:hAnsi="Trebuchet MS" w:cs="Times New Roman"/>
              </w:rPr>
              <w:t>4</w:t>
            </w:r>
            <w:r w:rsidRPr="00974C4D">
              <w:rPr>
                <w:rFonts w:ascii="Trebuchet MS" w:eastAsia="Times New Roman" w:hAnsi="Trebuchet MS" w:cs="Times New Roman"/>
              </w:rPr>
              <w:t xml:space="preserve"> locuitori (ind. C1/808), se înregistrează un declin demografic de 4200 locuitori co</w:t>
            </w:r>
            <w:r>
              <w:rPr>
                <w:rFonts w:ascii="Trebuchet MS" w:eastAsia="Times New Roman" w:hAnsi="Trebuchet MS" w:cs="Times New Roman"/>
              </w:rPr>
              <w:t>m</w:t>
            </w:r>
            <w:r w:rsidRPr="00974C4D">
              <w:rPr>
                <w:rFonts w:ascii="Trebuchet MS" w:eastAsia="Times New Roman" w:hAnsi="Trebuchet MS" w:cs="Times New Roman"/>
              </w:rPr>
              <w:t>p</w:t>
            </w:r>
            <w:r>
              <w:rPr>
                <w:rFonts w:ascii="Trebuchet MS" w:eastAsia="Times New Roman" w:hAnsi="Trebuchet MS" w:cs="Times New Roman"/>
              </w:rPr>
              <w:t>a</w:t>
            </w:r>
            <w:r w:rsidRPr="00974C4D">
              <w:rPr>
                <w:rFonts w:ascii="Trebuchet MS" w:eastAsia="Times New Roman" w:hAnsi="Trebuchet MS" w:cs="Times New Roman"/>
              </w:rPr>
              <w:t>rativ cu anul 2002. Densitatea populaţiei este de 23.</w:t>
            </w:r>
            <w:r w:rsidR="00346D09">
              <w:rPr>
                <w:rFonts w:ascii="Trebuchet MS" w:eastAsia="Times New Roman" w:hAnsi="Trebuchet MS" w:cs="Times New Roman"/>
              </w:rPr>
              <w:t>4</w:t>
            </w:r>
            <w:bookmarkStart w:id="0" w:name="_GoBack"/>
            <w:bookmarkEnd w:id="0"/>
            <w:r w:rsidRPr="00974C4D">
              <w:rPr>
                <w:rFonts w:ascii="Trebuchet MS" w:eastAsia="Times New Roman" w:hAnsi="Trebuchet MS" w:cs="Times New Roman"/>
              </w:rPr>
              <w:t xml:space="preserve"> locuitori/kmp (Ind C4/808). </w:t>
            </w:r>
          </w:p>
          <w:p w:rsidR="00974C4D" w:rsidRPr="00974C4D" w:rsidRDefault="00974C4D" w:rsidP="004A1F33">
            <w:pPr>
              <w:spacing w:line="276" w:lineRule="auto"/>
              <w:jc w:val="both"/>
              <w:rPr>
                <w:rFonts w:ascii="Trebuchet MS" w:eastAsia="Times New Roman" w:hAnsi="Trebuchet MS" w:cs="Times New Roman"/>
              </w:rPr>
            </w:pPr>
            <w:r w:rsidRPr="00974C4D">
              <w:rPr>
                <w:rFonts w:ascii="Trebuchet MS" w:eastAsia="Times New Roman" w:hAnsi="Trebuchet MS" w:cs="Times New Roman"/>
              </w:rPr>
              <w:t xml:space="preserve">Analizând structura pe grupe de vârstă a populaţiei (ind. C2/808)  se constată un procent mult mai mare a populaţiei în vârstă de peste 40 ani, 13823 locuitori reprezentând </w:t>
            </w:r>
            <w:r>
              <w:rPr>
                <w:rFonts w:ascii="Trebuchet MS" w:eastAsia="Times New Roman" w:hAnsi="Trebuchet MS" w:cs="Times New Roman"/>
              </w:rPr>
              <w:t>36%, comparativ cu  populaţia tâ</w:t>
            </w:r>
            <w:r w:rsidRPr="00974C4D">
              <w:rPr>
                <w:rFonts w:ascii="Trebuchet MS" w:eastAsia="Times New Roman" w:hAnsi="Trebuchet MS" w:cs="Times New Roman"/>
              </w:rPr>
              <w:t xml:space="preserve">nără (20-40 ani) de 10.819 locuitori, un procent de 28,6% din total populaţie. </w:t>
            </w:r>
          </w:p>
          <w:p w:rsidR="00974C4D" w:rsidRPr="00974C4D" w:rsidRDefault="00974C4D" w:rsidP="004A1F33">
            <w:pPr>
              <w:spacing w:line="276" w:lineRule="auto"/>
              <w:jc w:val="both"/>
              <w:rPr>
                <w:rFonts w:ascii="Trebuchet MS" w:eastAsia="Times New Roman" w:hAnsi="Trebuchet MS" w:cs="Times New Roman"/>
              </w:rPr>
            </w:pPr>
            <w:r w:rsidRPr="00974C4D">
              <w:rPr>
                <w:rFonts w:ascii="Trebuchet MS" w:eastAsia="Times New Roman" w:hAnsi="Trebuchet MS" w:cs="Times New Roman"/>
              </w:rPr>
              <w:t xml:space="preserve">Rată îmbătrânirii, sporul negativ şi migraţia externă accentuată (11%) reprezintă principalii factori răspunzători pentru declinul populaţiei din teritoriu. În acest context, a </w:t>
            </w:r>
            <w:r>
              <w:rPr>
                <w:rFonts w:ascii="Trebuchet MS" w:eastAsia="Times New Roman" w:hAnsi="Trebuchet MS" w:cs="Times New Roman"/>
              </w:rPr>
              <w:t>fost identificată nevoia (N4) „N</w:t>
            </w:r>
            <w:r w:rsidRPr="00974C4D">
              <w:rPr>
                <w:rFonts w:ascii="Trebuchet MS" w:eastAsia="Times New Roman" w:hAnsi="Trebuchet MS" w:cs="Times New Roman"/>
              </w:rPr>
              <w:t xml:space="preserve">ecesitatea unui management întinerit şi antreprenoriat competitiv” care va duce la creşterea atractivităţii teritoriului pentru tineri şi va reduce migraţia. </w:t>
            </w:r>
          </w:p>
          <w:p w:rsidR="00974C4D" w:rsidRPr="00974C4D" w:rsidRDefault="00974C4D" w:rsidP="004A1F33">
            <w:pPr>
              <w:spacing w:line="276" w:lineRule="auto"/>
              <w:jc w:val="both"/>
              <w:rPr>
                <w:rFonts w:ascii="Trebuchet MS" w:eastAsia="Times New Roman" w:hAnsi="Trebuchet MS" w:cs="Times New Roman"/>
              </w:rPr>
            </w:pPr>
            <w:r w:rsidRPr="00974C4D">
              <w:rPr>
                <w:rFonts w:ascii="Trebuchet MS" w:eastAsia="Times New Roman" w:hAnsi="Trebuchet MS" w:cs="Times New Roman"/>
              </w:rPr>
              <w:t>Pe teritoriul GAL sunt identificate 3 grupuri minoritare; lipoveni</w:t>
            </w:r>
            <w:r>
              <w:rPr>
                <w:rFonts w:ascii="Trebuchet MS" w:eastAsia="Times New Roman" w:hAnsi="Trebuchet MS" w:cs="Times New Roman"/>
              </w:rPr>
              <w:t xml:space="preserve"> concentraţi în comuna Ghindăreș</w:t>
            </w:r>
            <w:r w:rsidRPr="00974C4D">
              <w:rPr>
                <w:rFonts w:ascii="Trebuchet MS" w:eastAsia="Times New Roman" w:hAnsi="Trebuchet MS" w:cs="Times New Roman"/>
              </w:rPr>
              <w:t xml:space="preserve">ti în număr de 1865, care reprezintă 95% din populaţia comunei, minoritatea turco-tătară 434 persoane dispersate în mai multe comunităţi, romi declaraţi 87 persoane concentrate în comună Casimcea din jud Tulcea şi Mircea Vodă jud Constanţa, numărul romilor este de 191 persoane. </w:t>
            </w:r>
          </w:p>
          <w:p w:rsidR="00974C4D" w:rsidRPr="00974C4D" w:rsidRDefault="00974C4D" w:rsidP="004A1F33">
            <w:pPr>
              <w:spacing w:line="276" w:lineRule="auto"/>
              <w:jc w:val="both"/>
              <w:rPr>
                <w:rFonts w:ascii="Trebuchet MS" w:eastAsia="Times New Roman" w:hAnsi="Trebuchet MS" w:cs="Times New Roman"/>
              </w:rPr>
            </w:pPr>
            <w:r w:rsidRPr="00974C4D">
              <w:rPr>
                <w:rFonts w:ascii="Trebuchet MS" w:eastAsia="Times New Roman" w:hAnsi="Trebuchet MS" w:cs="Times New Roman"/>
              </w:rPr>
              <w:t>Problema identificată în teritoriu este consolidarea identităţii şi a profilului local,  îmbunătăţirea egalităţii de şanse pentru minorităţile din comunităţile GAL Dobrogea Centrală</w:t>
            </w:r>
            <w:r>
              <w:rPr>
                <w:rFonts w:ascii="Trebuchet MS" w:eastAsia="Times New Roman" w:hAnsi="Trebuchet MS" w:cs="Times New Roman"/>
              </w:rPr>
              <w:t>,</w:t>
            </w:r>
            <w:r w:rsidRPr="00974C4D">
              <w:rPr>
                <w:rFonts w:ascii="Trebuchet MS" w:eastAsia="Times New Roman" w:hAnsi="Trebuchet MS" w:cs="Times New Roman"/>
              </w:rPr>
              <w:t xml:space="preserve"> favorizarea dialogului interetnic, eliminarea prejudecăţilor şi socializare. </w:t>
            </w:r>
          </w:p>
          <w:p w:rsidR="00974C4D" w:rsidRPr="00974C4D" w:rsidRDefault="00974C4D" w:rsidP="004A1F33">
            <w:pPr>
              <w:spacing w:line="276" w:lineRule="auto"/>
              <w:jc w:val="both"/>
              <w:rPr>
                <w:rFonts w:ascii="Trebuchet MS" w:eastAsia="Times New Roman" w:hAnsi="Trebuchet MS" w:cs="Times New Roman"/>
              </w:rPr>
            </w:pPr>
            <w:r>
              <w:rPr>
                <w:rFonts w:ascii="Trebuchet MS" w:eastAsia="Times New Roman" w:hAnsi="Trebuchet MS" w:cs="Times New Roman"/>
              </w:rPr>
              <w:t>Se identifică nevoia (N13) „C</w:t>
            </w:r>
            <w:r w:rsidRPr="00974C4D">
              <w:rPr>
                <w:rFonts w:ascii="Trebuchet MS" w:eastAsia="Times New Roman" w:hAnsi="Trebuchet MS" w:cs="Times New Roman"/>
              </w:rPr>
              <w:t>reşterea vizibilităţii valorilor culturale şi reînvierea meşteşugurilor tradiţionale ale minorităţilor”  pentru păstrarea, afirmarea şi dezvoltarea identităţii etnice.</w:t>
            </w:r>
          </w:p>
          <w:p w:rsidR="00974C4D" w:rsidRPr="00974C4D" w:rsidRDefault="00974C4D" w:rsidP="004A1F33">
            <w:pPr>
              <w:spacing w:line="276" w:lineRule="auto"/>
              <w:jc w:val="both"/>
              <w:rPr>
                <w:rFonts w:ascii="Trebuchet MS" w:eastAsia="Times New Roman" w:hAnsi="Trebuchet MS" w:cs="Times New Roman"/>
              </w:rPr>
            </w:pPr>
            <w:r w:rsidRPr="00974C4D">
              <w:rPr>
                <w:rFonts w:ascii="Trebuchet MS" w:eastAsia="Times New Roman" w:hAnsi="Trebuchet MS" w:cs="Times New Roman"/>
              </w:rPr>
              <w:t>Caracteristici de mediu</w:t>
            </w:r>
          </w:p>
          <w:p w:rsidR="00974C4D" w:rsidRPr="00974C4D" w:rsidRDefault="00974C4D" w:rsidP="004A1F33">
            <w:pPr>
              <w:spacing w:line="276" w:lineRule="auto"/>
              <w:jc w:val="both"/>
              <w:rPr>
                <w:rFonts w:ascii="Trebuchet MS" w:eastAsia="Times New Roman" w:hAnsi="Trebuchet MS" w:cs="Times New Roman"/>
              </w:rPr>
            </w:pPr>
            <w:r w:rsidRPr="00974C4D">
              <w:rPr>
                <w:rFonts w:ascii="Trebuchet MS" w:eastAsia="Times New Roman" w:hAnsi="Trebuchet MS" w:cs="Times New Roman"/>
              </w:rPr>
              <w:t>La nivelul teritoriului au fost identificate suprafeţe incluse în Lista ariilor naturale protej</w:t>
            </w:r>
            <w:r>
              <w:rPr>
                <w:rFonts w:ascii="Trebuchet MS" w:eastAsia="Times New Roman" w:hAnsi="Trebuchet MS" w:cs="Times New Roman"/>
              </w:rPr>
              <w:t>ate, de interes comunitar Natura</w:t>
            </w:r>
            <w:r w:rsidRPr="00974C4D">
              <w:rPr>
                <w:rFonts w:ascii="Trebuchet MS" w:eastAsia="Times New Roman" w:hAnsi="Trebuchet MS" w:cs="Times New Roman"/>
              </w:rPr>
              <w:t xml:space="preserve"> 20</w:t>
            </w:r>
            <w:r>
              <w:rPr>
                <w:rFonts w:ascii="Trebuchet MS" w:eastAsia="Times New Roman" w:hAnsi="Trebuchet MS" w:cs="Times New Roman"/>
              </w:rPr>
              <w:t>00 (ind C34/808):  în  Garliciu</w:t>
            </w:r>
            <w:r w:rsidRPr="00974C4D">
              <w:rPr>
                <w:rFonts w:ascii="Trebuchet MS" w:eastAsia="Times New Roman" w:hAnsi="Trebuchet MS" w:cs="Times New Roman"/>
              </w:rPr>
              <w:t xml:space="preserve"> - sit Braţul Măcin RO SCI 0012</w:t>
            </w:r>
            <w:r>
              <w:rPr>
                <w:rFonts w:ascii="Trebuchet MS" w:eastAsia="Times New Roman" w:hAnsi="Trebuchet MS" w:cs="Times New Roman"/>
              </w:rPr>
              <w:t>; Aliman, Crucea, Ghindăreș</w:t>
            </w:r>
            <w:r w:rsidRPr="00974C4D">
              <w:rPr>
                <w:rFonts w:ascii="Trebuchet MS" w:eastAsia="Times New Roman" w:hAnsi="Trebuchet MS" w:cs="Times New Roman"/>
              </w:rPr>
              <w:t>ti, Horia, Rasova, Topalu - sit Canaralele  Dunării ROSCI 0022, Crucea - sit Dealul Alah Bair - ROSCI 0053; Aliman, Rasova - Sit Dumbrăveni-Valea Urluia lacul Vederoas</w:t>
            </w:r>
            <w:r>
              <w:rPr>
                <w:rFonts w:ascii="Trebuchet MS" w:eastAsia="Times New Roman" w:hAnsi="Trebuchet MS" w:cs="Times New Roman"/>
              </w:rPr>
              <w:t>ă ROSCI 0071; Ciocârlia - Sit Fântâniț</w:t>
            </w:r>
            <w:r w:rsidRPr="00974C4D">
              <w:rPr>
                <w:rFonts w:ascii="Trebuchet MS" w:eastAsia="Times New Roman" w:hAnsi="Trebuchet MS" w:cs="Times New Roman"/>
              </w:rPr>
              <w:t>a Murfatlar ROSCI 0083; Aliman - Sit Canaraua Fetii – Iortmac ROSCI 0172; Ciocârlia şi Peştera - Sit Peştera – Deleni ROSCI 0353; Saraiu, Casimcea - Sit Podişul Nord Dobrogean ROSCI 020;  Casimcea - Sit Stepă Casimcea ROSPA 0100 şi Sit Cheile Dobrogei ROSPA 0019. Prezenţa siturilor şi ariilor protejate în cea mai mare parte a teritoriului GAL Dobrogea Centrală (peste 50% din suprafaţă),  este în concordanţă cu nevoia identificată N</w:t>
            </w:r>
            <w:r>
              <w:rPr>
                <w:rFonts w:ascii="Trebuchet MS" w:eastAsia="Times New Roman" w:hAnsi="Trebuchet MS" w:cs="Times New Roman"/>
              </w:rPr>
              <w:t>3 „Acţiuni prietenoase cu natura</w:t>
            </w:r>
            <w:r w:rsidRPr="00974C4D">
              <w:rPr>
                <w:rFonts w:ascii="Trebuchet MS" w:eastAsia="Times New Roman" w:hAnsi="Trebuchet MS" w:cs="Times New Roman"/>
              </w:rPr>
              <w:t xml:space="preserve"> şi protejarea responsabilă a mediului”</w:t>
            </w:r>
          </w:p>
          <w:p w:rsidR="00974C4D" w:rsidRPr="00974C4D" w:rsidRDefault="00974C4D" w:rsidP="004A1F33">
            <w:pPr>
              <w:spacing w:line="276" w:lineRule="auto"/>
              <w:jc w:val="both"/>
              <w:rPr>
                <w:rFonts w:ascii="Trebuchet MS" w:eastAsia="Times New Roman" w:hAnsi="Trebuchet MS" w:cs="Times New Roman"/>
              </w:rPr>
            </w:pPr>
            <w:r>
              <w:rPr>
                <w:rFonts w:ascii="Trebuchet MS" w:eastAsia="Times New Roman" w:hAnsi="Trebuchet MS" w:cs="Times New Roman"/>
              </w:rPr>
              <w:t>Educaţia</w:t>
            </w:r>
          </w:p>
          <w:p w:rsidR="00974C4D" w:rsidRPr="00974C4D" w:rsidRDefault="00974C4D" w:rsidP="004A1F33">
            <w:pPr>
              <w:spacing w:line="276" w:lineRule="auto"/>
              <w:jc w:val="both"/>
              <w:rPr>
                <w:rFonts w:ascii="Trebuchet MS" w:eastAsia="Times New Roman" w:hAnsi="Trebuchet MS" w:cs="Times New Roman"/>
              </w:rPr>
            </w:pPr>
            <w:r w:rsidRPr="00974C4D">
              <w:rPr>
                <w:rFonts w:ascii="Trebuchet MS" w:eastAsia="Times New Roman" w:hAnsi="Trebuchet MS" w:cs="Times New Roman"/>
              </w:rPr>
              <w:t>Capitalul uman prez</w:t>
            </w:r>
            <w:r>
              <w:rPr>
                <w:rFonts w:ascii="Trebuchet MS" w:eastAsia="Times New Roman" w:hAnsi="Trebuchet MS" w:cs="Times New Roman"/>
              </w:rPr>
              <w:t>intă importanț</w:t>
            </w:r>
            <w:r w:rsidRPr="00974C4D">
              <w:rPr>
                <w:rFonts w:ascii="Trebuchet MS" w:eastAsia="Times New Roman" w:hAnsi="Trebuchet MS" w:cs="Times New Roman"/>
              </w:rPr>
              <w:t xml:space="preserve">ă deosebită pentru dezvoltarea locală. </w:t>
            </w:r>
          </w:p>
          <w:p w:rsidR="00974C4D" w:rsidRDefault="00974C4D" w:rsidP="004A1F33">
            <w:pPr>
              <w:spacing w:line="276" w:lineRule="auto"/>
              <w:jc w:val="both"/>
              <w:rPr>
                <w:rFonts w:ascii="Trebuchet MS" w:eastAsia="Times New Roman" w:hAnsi="Trebuchet MS" w:cs="Times New Roman"/>
              </w:rPr>
            </w:pPr>
            <w:r w:rsidRPr="00974C4D">
              <w:rPr>
                <w:rFonts w:ascii="Trebuchet MS" w:eastAsia="Times New Roman" w:hAnsi="Trebuchet MS" w:cs="Times New Roman"/>
              </w:rPr>
              <w:t>Dezvoltarea şi diversificarea economiei locale depind de nivelul educaţiei, al cunoştinţelor şi calificării. Populaţia cu studii superioare identificată prin studiu este de 1,9%, ponderea cea mai mare a acestui segment se regăseşte în sectorul educaţional. În agricultură, din totalul fermierilor cu calificare specifică domeniului doar 21% (ind C24/808) sunt cu studii universitare de specialitate. Populaţia cu studii medii are o pondere de 59,6%. Această categorie s</w:t>
            </w:r>
            <w:r>
              <w:rPr>
                <w:rFonts w:ascii="Trebuchet MS" w:eastAsia="Times New Roman" w:hAnsi="Trebuchet MS" w:cs="Times New Roman"/>
              </w:rPr>
              <w:t>e regăseşte în toate domeniile d</w:t>
            </w:r>
            <w:r w:rsidRPr="00974C4D">
              <w:rPr>
                <w:rFonts w:ascii="Trebuchet MS" w:eastAsia="Times New Roman" w:hAnsi="Trebuchet MS" w:cs="Times New Roman"/>
              </w:rPr>
              <w:t>e activitate cu diverse calificări: medical, militar, industrial, energ</w:t>
            </w:r>
            <w:r>
              <w:rPr>
                <w:rFonts w:ascii="Trebuchet MS" w:eastAsia="Times New Roman" w:hAnsi="Trebuchet MS" w:cs="Times New Roman"/>
              </w:rPr>
              <w:t>etic, agricol, etc. În ultimii</w:t>
            </w:r>
            <w:r w:rsidRPr="00974C4D">
              <w:rPr>
                <w:rFonts w:ascii="Trebuchet MS" w:eastAsia="Times New Roman" w:hAnsi="Trebuchet MS" w:cs="Times New Roman"/>
              </w:rPr>
              <w:t xml:space="preserve"> ani s-a înregistrat o creştere a procentului p</w:t>
            </w:r>
            <w:r>
              <w:rPr>
                <w:rFonts w:ascii="Trebuchet MS" w:eastAsia="Times New Roman" w:hAnsi="Trebuchet MS" w:cs="Times New Roman"/>
              </w:rPr>
              <w:t>opulaţiei instruite, beneficiară</w:t>
            </w:r>
            <w:r w:rsidRPr="00974C4D">
              <w:rPr>
                <w:rFonts w:ascii="Trebuchet MS" w:eastAsia="Times New Roman" w:hAnsi="Trebuchet MS" w:cs="Times New Roman"/>
              </w:rPr>
              <w:t xml:space="preserve"> a învăţământului obligatoriu de 10 clase.</w:t>
            </w:r>
          </w:p>
          <w:p w:rsidR="004A1F33" w:rsidRPr="004A1F33" w:rsidRDefault="004A1F33" w:rsidP="004A1F33">
            <w:pPr>
              <w:spacing w:line="276" w:lineRule="auto"/>
              <w:jc w:val="both"/>
              <w:rPr>
                <w:rFonts w:ascii="Trebuchet MS" w:hAnsi="Trebuchet MS" w:cs="TimesNewRomanPSMT"/>
              </w:rPr>
            </w:pPr>
            <w:r w:rsidRPr="004A1F33">
              <w:rPr>
                <w:rFonts w:ascii="Trebuchet MS" w:hAnsi="Trebuchet MS" w:cs="TimesNewRomanPSMT"/>
              </w:rPr>
              <w:lastRenderedPageBreak/>
              <w:t>Această creştere se înregistrează la populaţia între 16-20 ani.</w:t>
            </w:r>
          </w:p>
          <w:p w:rsidR="004A1F33" w:rsidRPr="004A1F33" w:rsidRDefault="004A1F33" w:rsidP="004A1F33">
            <w:pPr>
              <w:spacing w:line="276" w:lineRule="auto"/>
              <w:jc w:val="both"/>
              <w:rPr>
                <w:rFonts w:ascii="Trebuchet MS" w:hAnsi="Trebuchet MS" w:cs="TimesNewRomanPSMT"/>
              </w:rPr>
            </w:pPr>
            <w:r w:rsidRPr="004A1F33">
              <w:rPr>
                <w:rFonts w:ascii="Trebuchet MS" w:hAnsi="Trebuchet MS" w:cs="TimesNewRomanPSMT"/>
              </w:rPr>
              <w:t>Populaţia necalificată profesional este de 38,5%. Această categorie a parcurs învăţământul obligatoriu, dar nu a parcurs forme de calificare profesională.</w:t>
            </w:r>
          </w:p>
          <w:p w:rsidR="004A1F33" w:rsidRPr="004A1F33" w:rsidRDefault="004A1F33" w:rsidP="004A1F33">
            <w:pPr>
              <w:spacing w:line="276" w:lineRule="auto"/>
              <w:jc w:val="both"/>
              <w:rPr>
                <w:rFonts w:ascii="Trebuchet MS" w:hAnsi="Trebuchet MS" w:cs="TimesNewRomanPSMT"/>
              </w:rPr>
            </w:pPr>
            <w:r w:rsidRPr="004A1F33">
              <w:rPr>
                <w:rFonts w:ascii="Trebuchet MS" w:hAnsi="Trebuchet MS" w:cs="TimesNewRomanPSMT"/>
              </w:rPr>
              <w:t>Infrastructur</w:t>
            </w:r>
            <w:r>
              <w:rPr>
                <w:rFonts w:ascii="Trebuchet MS" w:hAnsi="Trebuchet MS" w:cs="TimesNewRomanPSMT"/>
              </w:rPr>
              <w:t>a</w:t>
            </w:r>
            <w:r w:rsidRPr="004A1F33">
              <w:rPr>
                <w:rFonts w:ascii="Trebuchet MS" w:hAnsi="Trebuchet MS" w:cs="TimesNewRomanPSMT"/>
              </w:rPr>
              <w:t xml:space="preserve"> de baza</w:t>
            </w:r>
          </w:p>
          <w:p w:rsidR="004A1F33" w:rsidRPr="004A1F33" w:rsidRDefault="004A1F33" w:rsidP="004A1F33">
            <w:pPr>
              <w:spacing w:line="276" w:lineRule="auto"/>
              <w:jc w:val="both"/>
              <w:rPr>
                <w:rFonts w:ascii="Trebuchet MS" w:hAnsi="Trebuchet MS" w:cs="TimesNewRomanPSMT"/>
              </w:rPr>
            </w:pPr>
            <w:r w:rsidRPr="004A1F33">
              <w:rPr>
                <w:rFonts w:ascii="Trebuchet MS" w:hAnsi="Trebuchet MS" w:cs="TimesNewRomanPSMT"/>
              </w:rPr>
              <w:t>Preocupările principale ale administraţiilor publice se adresează infrastructurii rutiere locale, care este într-o stare acceptabilă, reabilitată prin programe europene inclusiv LEADER 2007-2013, naţionale şi  judeţene. Pe teritoriul GAL Dobrogea Centrală există 2348 ha de drumuri pe o lungime de 470 km</w:t>
            </w:r>
            <w:r>
              <w:rPr>
                <w:rFonts w:ascii="Trebuchet MS" w:hAnsi="Trebuchet MS" w:cs="TimesNewRomanPSMT"/>
              </w:rPr>
              <w:t>, reprezentând 1.4% din suprafaţa</w:t>
            </w:r>
            <w:r w:rsidRPr="004A1F33">
              <w:rPr>
                <w:rFonts w:ascii="Trebuchet MS" w:hAnsi="Trebuchet MS" w:cs="TimesNewRomanPSMT"/>
              </w:rPr>
              <w:t xml:space="preserve"> totală a comunelor şi 9.7% din total neagricol. </w:t>
            </w:r>
          </w:p>
          <w:p w:rsidR="004A1F33" w:rsidRPr="004A1F33" w:rsidRDefault="004A1F33" w:rsidP="004A1F33">
            <w:pPr>
              <w:spacing w:line="276" w:lineRule="auto"/>
              <w:jc w:val="both"/>
              <w:rPr>
                <w:rFonts w:ascii="Trebuchet MS" w:hAnsi="Trebuchet MS" w:cs="TimesNewRomanPSMT"/>
              </w:rPr>
            </w:pPr>
            <w:r>
              <w:rPr>
                <w:rFonts w:ascii="Trebuchet MS" w:hAnsi="Trebuchet MS" w:cs="TimesNewRomanPSMT"/>
              </w:rPr>
              <w:t>Infrastructura</w:t>
            </w:r>
            <w:r w:rsidRPr="004A1F33">
              <w:rPr>
                <w:rFonts w:ascii="Trebuchet MS" w:hAnsi="Trebuchet MS" w:cs="TimesNewRomanPSMT"/>
              </w:rPr>
              <w:t xml:space="preserve"> edificiilor publice</w:t>
            </w:r>
            <w:r>
              <w:rPr>
                <w:rFonts w:ascii="Trebuchet MS" w:hAnsi="Trebuchet MS" w:cs="TimesNewRomanPSMT"/>
              </w:rPr>
              <w:t xml:space="preserve"> (şcoli, cămine culturale, primă</w:t>
            </w:r>
            <w:r w:rsidRPr="004A1F33">
              <w:rPr>
                <w:rFonts w:ascii="Trebuchet MS" w:hAnsi="Trebuchet MS" w:cs="TimesNewRomanPSMT"/>
              </w:rPr>
              <w:t>rii) este în stare bună fiind renovate prin programe naţionale</w:t>
            </w:r>
            <w:r>
              <w:rPr>
                <w:rFonts w:ascii="Trebuchet MS" w:hAnsi="Trebuchet MS" w:cs="TimesNewRomanPSMT"/>
              </w:rPr>
              <w:t>,</w:t>
            </w:r>
            <w:r w:rsidRPr="004A1F33">
              <w:rPr>
                <w:rFonts w:ascii="Trebuchet MS" w:hAnsi="Trebuchet MS" w:cs="TimesNewRomanPSMT"/>
              </w:rPr>
              <w:t xml:space="preserve"> inclusiv prin fin</w:t>
            </w:r>
            <w:r>
              <w:rPr>
                <w:rFonts w:ascii="Trebuchet MS" w:hAnsi="Trebuchet MS" w:cs="TimesNewRomanPSMT"/>
              </w:rPr>
              <w:t xml:space="preserve">anţarea GAL Dobrogea Centrală </w:t>
            </w:r>
            <w:r w:rsidRPr="004A1F33">
              <w:rPr>
                <w:rFonts w:ascii="Trebuchet MS" w:hAnsi="Trebuchet MS" w:cs="TimesNewRomanPSMT"/>
              </w:rPr>
              <w:t>2007-2013. Evacuarea apelor uzate în gospodării se realizează în sistem propriu: fosă septică, bazin vidanjabil şi sistem de canalizare. Sistemul de canalizare pluvială se realizează prin rigole laterale ale drumurilor.  Alimentarea cu apă şi epurarea apelor uzate este asigurată centralizat prin RAJA Constanţa. Gestionarea rezidurilor şi deşeurilor rurale es</w:t>
            </w:r>
            <w:r>
              <w:rPr>
                <w:rFonts w:ascii="Trebuchet MS" w:hAnsi="Trebuchet MS" w:cs="TimesNewRomanPSMT"/>
              </w:rPr>
              <w:t>te asigurată centralizat prin Asociația I</w:t>
            </w:r>
            <w:r w:rsidRPr="004A1F33">
              <w:rPr>
                <w:rFonts w:ascii="Trebuchet MS" w:hAnsi="Trebuchet MS" w:cs="TimesNewRomanPSMT"/>
              </w:rPr>
              <w:t>ntercomunitară ADI Medgidia.</w:t>
            </w:r>
          </w:p>
          <w:p w:rsidR="004A1F33" w:rsidRPr="004A1F33" w:rsidRDefault="004A1F33" w:rsidP="004A1F33">
            <w:pPr>
              <w:spacing w:line="276" w:lineRule="auto"/>
              <w:jc w:val="both"/>
              <w:rPr>
                <w:rFonts w:ascii="Trebuchet MS" w:hAnsi="Trebuchet MS" w:cs="TimesNewRomanPSMT"/>
              </w:rPr>
            </w:pPr>
            <w:r w:rsidRPr="004A1F33">
              <w:rPr>
                <w:rFonts w:ascii="Trebuchet MS" w:hAnsi="Trebuchet MS" w:cs="TimesNewRomanPSMT"/>
              </w:rPr>
              <w:t>Infrastructură soci</w:t>
            </w:r>
            <w:r>
              <w:rPr>
                <w:rFonts w:ascii="Trebuchet MS" w:hAnsi="Trebuchet MS" w:cs="TimesNewRomanPSMT"/>
              </w:rPr>
              <w:t>ală</w:t>
            </w:r>
          </w:p>
          <w:p w:rsidR="004A1F33" w:rsidRPr="004A1F33" w:rsidRDefault="004A1F33" w:rsidP="004A1F33">
            <w:pPr>
              <w:spacing w:line="276" w:lineRule="auto"/>
              <w:jc w:val="both"/>
              <w:rPr>
                <w:rFonts w:ascii="Trebuchet MS" w:hAnsi="Trebuchet MS" w:cs="TimesNewRomanPSMT"/>
              </w:rPr>
            </w:pPr>
            <w:r w:rsidRPr="004A1F33">
              <w:rPr>
                <w:rFonts w:ascii="Trebuchet MS" w:hAnsi="Trebuchet MS" w:cs="TimesNewRomanPSMT"/>
              </w:rPr>
              <w:t>Creşterea accesului grupurilor vulnerabile la infrastructură şi servicii de asistenţă socială, medicală primară de bună calitate, protejarea persoanelor vârstnice aflate în risc de sărăcie sau excluziune socială, creşterea accesului copiilor din grupuri vulnerabile la educaţie, consolidare capacităţii instituţionale de reducere a sărăciei şi promovarea incluziunii sociale reprezintă preocupare prioritară în teritoriu. Seviciile medicale sunt asigurate de 18 cabinete de medicină generală, 8 cabinete de stomatologie şi 15 farmacii şi 28 medici familie. Cabinetele medicale au probleme în ce</w:t>
            </w:r>
            <w:r>
              <w:rPr>
                <w:rFonts w:ascii="Trebuchet MS" w:hAnsi="Trebuchet MS" w:cs="TimesNewRomanPSMT"/>
              </w:rPr>
              <w:t>e</w:t>
            </w:r>
            <w:r w:rsidRPr="004A1F33">
              <w:rPr>
                <w:rFonts w:ascii="Trebuchet MS" w:hAnsi="Trebuchet MS" w:cs="TimesNewRomanPSMT"/>
              </w:rPr>
              <w:t>a</w:t>
            </w:r>
            <w:r>
              <w:rPr>
                <w:rFonts w:ascii="Trebuchet MS" w:hAnsi="Trebuchet MS" w:cs="TimesNewRomanPSMT"/>
              </w:rPr>
              <w:t xml:space="preserve"> </w:t>
            </w:r>
            <w:r w:rsidRPr="004A1F33">
              <w:rPr>
                <w:rFonts w:ascii="Trebuchet MS" w:hAnsi="Trebuchet MS" w:cs="TimesNewRomanPSMT"/>
              </w:rPr>
              <w:t>ce priveşte dotarea.</w:t>
            </w:r>
          </w:p>
          <w:p w:rsidR="004A1F33" w:rsidRPr="004A1F33" w:rsidRDefault="004A1F33" w:rsidP="004A1F33">
            <w:pPr>
              <w:spacing w:line="276" w:lineRule="auto"/>
              <w:jc w:val="both"/>
              <w:rPr>
                <w:rFonts w:ascii="Trebuchet MS" w:hAnsi="Trebuchet MS" w:cs="TimesNewRomanPSMT"/>
              </w:rPr>
            </w:pPr>
            <w:r w:rsidRPr="004A1F33">
              <w:rPr>
                <w:rFonts w:ascii="Trebuchet MS" w:hAnsi="Trebuchet MS" w:cs="TimesNewRomanPSMT"/>
              </w:rPr>
              <w:t>Pe teritoriul GAL Dobrogea Centrală nu există infrastructură socială specializată, în cadrul fiecărei primarii există un serviciu social. Această sit</w:t>
            </w:r>
            <w:r>
              <w:rPr>
                <w:rFonts w:ascii="Trebuchet MS" w:hAnsi="Trebuchet MS" w:cs="TimesNewRomanPSMT"/>
              </w:rPr>
              <w:t>uaţie a generat nevoile: (N11) N</w:t>
            </w:r>
            <w:r w:rsidRPr="004A1F33">
              <w:rPr>
                <w:rFonts w:ascii="Trebuchet MS" w:hAnsi="Trebuchet MS" w:cs="TimesNewRomanPSMT"/>
              </w:rPr>
              <w:t>ecesitatea investiţiilor în infrastructură socială, adaptată</w:t>
            </w:r>
            <w:r>
              <w:rPr>
                <w:rFonts w:ascii="Trebuchet MS" w:hAnsi="Trebuchet MS" w:cs="TimesNewRomanPSMT"/>
              </w:rPr>
              <w:t xml:space="preserve"> nevoilor comunităţii şi (N12) R</w:t>
            </w:r>
            <w:r w:rsidRPr="004A1F33">
              <w:rPr>
                <w:rFonts w:ascii="Trebuchet MS" w:hAnsi="Trebuchet MS" w:cs="TimesNewRomanPSMT"/>
              </w:rPr>
              <w:t>educerea riscului de excluziune socială pentru categoriile vulnerabile, ceea ce contribuie la îmbunătăţirea egalităţii de şanse pentru tineri, femei, alte persoane defavorizate.</w:t>
            </w:r>
          </w:p>
          <w:p w:rsidR="004A1F33" w:rsidRPr="004A1F33" w:rsidRDefault="004A1F33" w:rsidP="004A1F33">
            <w:pPr>
              <w:spacing w:line="276" w:lineRule="auto"/>
              <w:jc w:val="both"/>
              <w:rPr>
                <w:rFonts w:ascii="Trebuchet MS" w:hAnsi="Trebuchet MS" w:cs="TimesNewRomanPSMT"/>
              </w:rPr>
            </w:pPr>
            <w:r w:rsidRPr="004A1F33">
              <w:rPr>
                <w:rFonts w:ascii="Trebuchet MS" w:hAnsi="Trebuchet MS" w:cs="TimesNewRomanPSMT"/>
              </w:rPr>
              <w:t>Patrimoniu arhitectural şi cultural</w:t>
            </w:r>
          </w:p>
          <w:p w:rsidR="004A1F33" w:rsidRPr="004A1F33" w:rsidRDefault="004A1F33" w:rsidP="004A1F33">
            <w:pPr>
              <w:spacing w:line="276" w:lineRule="auto"/>
              <w:jc w:val="both"/>
              <w:rPr>
                <w:rFonts w:ascii="Trebuchet MS" w:hAnsi="Trebuchet MS" w:cs="TimesNewRomanPSMT"/>
              </w:rPr>
            </w:pPr>
            <w:r w:rsidRPr="004A1F33">
              <w:rPr>
                <w:rFonts w:ascii="Trebuchet MS" w:hAnsi="Trebuchet MS" w:cs="TimesNewRomanPSMT"/>
              </w:rPr>
              <w:t>În teri</w:t>
            </w:r>
            <w:r>
              <w:rPr>
                <w:rFonts w:ascii="Trebuchet MS" w:hAnsi="Trebuchet MS" w:cs="TimesNewRomanPSMT"/>
              </w:rPr>
              <w:t>toriu există cetăţi, castre roma</w:t>
            </w:r>
            <w:r w:rsidRPr="004A1F33">
              <w:rPr>
                <w:rFonts w:ascii="Trebuchet MS" w:hAnsi="Trebuchet MS" w:cs="TimesNewRomanPSMT"/>
              </w:rPr>
              <w:t xml:space="preserve">ne, cetăţi dacice în comunele: Crucea, Ciocârlia, Topalu, Rasova, Aliman, Saraiu, Peştera, Seimeni, Mircea Vodă. În comună Casimcea sunt 11 situri arheologice datând din Epoca Română. Există lăcaşe de cult: 6 musulmane şi 27 ortodoxe, 6 mănăstiri. </w:t>
            </w:r>
          </w:p>
          <w:p w:rsidR="004A1F33" w:rsidRPr="004A1F33" w:rsidRDefault="004A1F33" w:rsidP="004A1F33">
            <w:pPr>
              <w:spacing w:line="276" w:lineRule="auto"/>
              <w:jc w:val="both"/>
              <w:rPr>
                <w:rFonts w:ascii="Trebuchet MS" w:hAnsi="Trebuchet MS" w:cs="TimesNewRomanPSMT"/>
              </w:rPr>
            </w:pPr>
            <w:r>
              <w:rPr>
                <w:rFonts w:ascii="Trebuchet MS" w:hAnsi="Trebuchet MS" w:cs="TimesNewRomanPSMT"/>
              </w:rPr>
              <w:t>Arhitectura</w:t>
            </w:r>
            <w:r w:rsidRPr="004A1F33">
              <w:rPr>
                <w:rFonts w:ascii="Trebuchet MS" w:hAnsi="Trebuchet MS" w:cs="TimesNewRomanPSMT"/>
              </w:rPr>
              <w:t xml:space="preserve"> tradiţională dobrogeană este păstrată în multe din case, se evidenţiază cerdacul din faţă casei, soclul din piatră cu var sau lut, şi culoarea albastră a tâmplăriei. </w:t>
            </w:r>
          </w:p>
          <w:p w:rsidR="009366C3" w:rsidRPr="009366C3" w:rsidRDefault="004A1F33" w:rsidP="004A1F33">
            <w:pPr>
              <w:spacing w:line="276" w:lineRule="auto"/>
              <w:jc w:val="both"/>
              <w:rPr>
                <w:rFonts w:ascii="Trebuchet MS" w:hAnsi="Trebuchet MS"/>
              </w:rPr>
            </w:pPr>
            <w:r>
              <w:rPr>
                <w:rFonts w:ascii="Trebuchet MS" w:hAnsi="Trebuchet MS" w:cs="TimesNewRomanPSMT"/>
              </w:rPr>
              <w:t xml:space="preserve">Tradiţiile şi obiceiurile </w:t>
            </w:r>
            <w:r w:rsidRPr="004A1F33">
              <w:rPr>
                <w:rFonts w:ascii="Trebuchet MS" w:hAnsi="Trebuchet MS" w:cs="TimesNewRomanPSMT"/>
              </w:rPr>
              <w:t>culturale specifice teritoriului  s-au păstrat din vremuri de demult şi încă mai sunt practic</w:t>
            </w:r>
            <w:r>
              <w:rPr>
                <w:rFonts w:ascii="Trebuchet MS" w:hAnsi="Trebuchet MS" w:cs="TimesNewRomanPSMT"/>
              </w:rPr>
              <w:t>ate olăria, caloianul, paparuda. D</w:t>
            </w:r>
            <w:r w:rsidRPr="004A1F33">
              <w:rPr>
                <w:rFonts w:ascii="Trebuchet MS" w:hAnsi="Trebuchet MS" w:cs="TimesNewRomanPSMT"/>
              </w:rPr>
              <w:t>e asemenea se fol</w:t>
            </w:r>
            <w:r>
              <w:rPr>
                <w:rFonts w:ascii="Trebuchet MS" w:hAnsi="Trebuchet MS" w:cs="TimesNewRomanPSMT"/>
              </w:rPr>
              <w:t>o</w:t>
            </w:r>
            <w:r w:rsidRPr="004A1F33">
              <w:rPr>
                <w:rFonts w:ascii="Trebuchet MS" w:hAnsi="Trebuchet MS" w:cs="TimesNewRomanPSMT"/>
              </w:rPr>
              <w:t>sesc încă  instrumente populare cum ar f</w:t>
            </w:r>
            <w:r w:rsidR="003F0E5B">
              <w:rPr>
                <w:rFonts w:ascii="Trebuchet MS" w:hAnsi="Trebuchet MS" w:cs="TimesNewRomanPSMT"/>
              </w:rPr>
              <w:t>i cimpoiul,  fluierul,  tilincă</w:t>
            </w:r>
            <w:r w:rsidRPr="004A1F33">
              <w:rPr>
                <w:rFonts w:ascii="Trebuchet MS" w:hAnsi="Trebuchet MS" w:cs="TimesNewRomanPSMT"/>
              </w:rPr>
              <w:t>, cavalul.</w:t>
            </w:r>
          </w:p>
          <w:p w:rsidR="009366C3" w:rsidRDefault="009366C3" w:rsidP="004A1F33">
            <w:pPr>
              <w:spacing w:line="276" w:lineRule="auto"/>
              <w:jc w:val="both"/>
              <w:rPr>
                <w:rFonts w:ascii="Trebuchet MS" w:hAnsi="Trebuchet MS"/>
              </w:rPr>
            </w:pPr>
          </w:p>
          <w:p w:rsidR="009366C3" w:rsidRPr="009366C3" w:rsidRDefault="009366C3" w:rsidP="004A1F33">
            <w:pPr>
              <w:spacing w:line="276" w:lineRule="auto"/>
              <w:rPr>
                <w:rFonts w:ascii="Trebuchet MS" w:hAnsi="Trebuchet MS"/>
              </w:rPr>
            </w:pPr>
          </w:p>
          <w:p w:rsidR="009366C3" w:rsidRDefault="009366C3" w:rsidP="004A1F33">
            <w:pPr>
              <w:spacing w:line="276" w:lineRule="auto"/>
              <w:rPr>
                <w:rFonts w:ascii="Trebuchet MS" w:hAnsi="Trebuchet MS"/>
              </w:rPr>
            </w:pPr>
          </w:p>
          <w:p w:rsidR="009366C3" w:rsidRDefault="009366C3" w:rsidP="004A1F33">
            <w:pPr>
              <w:spacing w:line="276" w:lineRule="auto"/>
              <w:rPr>
                <w:rFonts w:ascii="Trebuchet MS" w:hAnsi="Trebuchet MS"/>
              </w:rPr>
            </w:pPr>
          </w:p>
          <w:p w:rsidR="009366C3" w:rsidRPr="009366C3" w:rsidRDefault="009366C3" w:rsidP="004A1F33">
            <w:pPr>
              <w:spacing w:line="276" w:lineRule="auto"/>
              <w:jc w:val="center"/>
              <w:rPr>
                <w:rFonts w:ascii="Trebuchet MS" w:hAnsi="Trebuchet MS"/>
              </w:rPr>
            </w:pPr>
          </w:p>
        </w:tc>
      </w:tr>
    </w:tbl>
    <w:p w:rsidR="005837B7" w:rsidRPr="00C17195" w:rsidRDefault="005837B7" w:rsidP="004A1F33">
      <w:pPr>
        <w:shd w:val="clear" w:color="auto" w:fill="FFFFFF"/>
        <w:spacing w:after="0"/>
        <w:jc w:val="both"/>
        <w:rPr>
          <w:rFonts w:ascii="Trebuchet MS" w:eastAsia="Times New Roman" w:hAnsi="Trebuchet MS" w:cs="Times New Roman"/>
          <w:b/>
        </w:rPr>
      </w:pPr>
    </w:p>
    <w:sectPr w:rsidR="005837B7" w:rsidRPr="00C17195" w:rsidSect="0091660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DF" w:rsidRDefault="00F821DF" w:rsidP="007D2E6A">
      <w:pPr>
        <w:spacing w:after="0" w:line="240" w:lineRule="auto"/>
      </w:pPr>
      <w:r>
        <w:separator/>
      </w:r>
    </w:p>
  </w:endnote>
  <w:endnote w:type="continuationSeparator" w:id="0">
    <w:p w:rsidR="00F821DF" w:rsidRDefault="00F821DF" w:rsidP="007D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DF" w:rsidRDefault="00F821DF" w:rsidP="007D2E6A">
      <w:pPr>
        <w:spacing w:after="0" w:line="240" w:lineRule="auto"/>
      </w:pPr>
      <w:r>
        <w:separator/>
      </w:r>
    </w:p>
  </w:footnote>
  <w:footnote w:type="continuationSeparator" w:id="0">
    <w:p w:rsidR="00F821DF" w:rsidRDefault="00F821DF" w:rsidP="007D2E6A">
      <w:pPr>
        <w:spacing w:after="0" w:line="240" w:lineRule="auto"/>
      </w:pPr>
      <w:r>
        <w:continuationSeparator/>
      </w:r>
    </w:p>
  </w:footnote>
  <w:footnote w:id="1">
    <w:p w:rsidR="00E922A6" w:rsidRDefault="00E922A6" w:rsidP="00E922A6">
      <w:pPr>
        <w:pStyle w:val="FootnoteText"/>
      </w:pPr>
      <w:r>
        <w:rPr>
          <w:rStyle w:val="FootnoteReference"/>
        </w:rPr>
        <w:footnoteRef/>
      </w:r>
      <w:r>
        <w:t xml:space="preserve"> Indicatori R 808/2013 </w:t>
      </w:r>
    </w:p>
  </w:footnote>
  <w:footnote w:id="2">
    <w:p w:rsidR="00B77EC2" w:rsidRDefault="00B77EC2">
      <w:pPr>
        <w:pStyle w:val="FootnoteText"/>
      </w:pPr>
      <w:r>
        <w:rPr>
          <w:rStyle w:val="FootnoteReference"/>
        </w:rPr>
        <w:footnoteRef/>
      </w:r>
      <w:r>
        <w:t xml:space="preserve"> </w:t>
      </w:r>
      <w:r w:rsidR="00CA7A8F">
        <w:t>Sursa INSSE</w:t>
      </w:r>
    </w:p>
  </w:footnote>
  <w:footnote w:id="3">
    <w:p w:rsidR="00B77EC2" w:rsidRDefault="00B77EC2">
      <w:pPr>
        <w:pStyle w:val="FootnoteText"/>
      </w:pPr>
      <w:r>
        <w:rPr>
          <w:rStyle w:val="FootnoteReference"/>
        </w:rPr>
        <w:footnoteRef/>
      </w:r>
      <w:r>
        <w:t xml:space="preserve"> </w:t>
      </w:r>
      <w:r w:rsidR="00CA7A8F">
        <w:t>Sursa INSSE</w:t>
      </w:r>
    </w:p>
  </w:footnote>
  <w:footnote w:id="4">
    <w:p w:rsidR="00B77EC2" w:rsidRDefault="00B77EC2">
      <w:pPr>
        <w:pStyle w:val="FootnoteText"/>
      </w:pPr>
      <w:r>
        <w:rPr>
          <w:rStyle w:val="FootnoteReference"/>
        </w:rPr>
        <w:footnoteRef/>
      </w:r>
      <w:r>
        <w:t xml:space="preserve"> </w:t>
      </w:r>
      <w:r w:rsidR="00CA7A8F">
        <w:t>Anexa INSSE</w:t>
      </w:r>
    </w:p>
  </w:footnote>
  <w:footnote w:id="5">
    <w:p w:rsidR="00B77EC2" w:rsidRDefault="00B77EC2">
      <w:pPr>
        <w:pStyle w:val="FootnoteText"/>
      </w:pPr>
      <w:r>
        <w:rPr>
          <w:rStyle w:val="FootnoteReference"/>
        </w:rPr>
        <w:footnoteRef/>
      </w:r>
      <w:r>
        <w:t xml:space="preserve"> </w:t>
      </w:r>
      <w:r w:rsidR="00CA7A8F">
        <w:t>Sursa INSSE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1FE"/>
    <w:multiLevelType w:val="hybridMultilevel"/>
    <w:tmpl w:val="D4AED2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28883297"/>
    <w:multiLevelType w:val="hybridMultilevel"/>
    <w:tmpl w:val="D69A6B50"/>
    <w:lvl w:ilvl="0" w:tplc="82DA69DE">
      <w:start w:val="1"/>
      <w:numFmt w:val="decimal"/>
      <w:lvlText w:val="%1."/>
      <w:lvlJc w:val="left"/>
      <w:pPr>
        <w:ind w:left="720" w:hanging="360"/>
      </w:pPr>
      <w:rPr>
        <w:rFonts w:asciiTheme="minorHAnsi" w:eastAsiaTheme="minorHAnsi" w:hAnsi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0CE5350"/>
    <w:multiLevelType w:val="hybridMultilevel"/>
    <w:tmpl w:val="C1EAB27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A096F"/>
    <w:multiLevelType w:val="hybridMultilevel"/>
    <w:tmpl w:val="9230A624"/>
    <w:lvl w:ilvl="0" w:tplc="4926C754">
      <w:start w:val="50"/>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D5B9F"/>
    <w:multiLevelType w:val="hybridMultilevel"/>
    <w:tmpl w:val="0B30A0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4DE5E47"/>
    <w:multiLevelType w:val="hybridMultilevel"/>
    <w:tmpl w:val="D69A6B50"/>
    <w:lvl w:ilvl="0" w:tplc="82DA69DE">
      <w:start w:val="1"/>
      <w:numFmt w:val="decimal"/>
      <w:lvlText w:val="%1."/>
      <w:lvlJc w:val="left"/>
      <w:pPr>
        <w:ind w:left="720" w:hanging="360"/>
      </w:pPr>
      <w:rPr>
        <w:rFonts w:asciiTheme="minorHAnsi" w:eastAsiaTheme="minorHAnsi" w:hAnsi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3A74"/>
    <w:rsid w:val="00003FEC"/>
    <w:rsid w:val="00004803"/>
    <w:rsid w:val="0000500A"/>
    <w:rsid w:val="0000656C"/>
    <w:rsid w:val="00024501"/>
    <w:rsid w:val="00031DA2"/>
    <w:rsid w:val="00032F7F"/>
    <w:rsid w:val="000344F9"/>
    <w:rsid w:val="00050CF9"/>
    <w:rsid w:val="000510EA"/>
    <w:rsid w:val="000565CB"/>
    <w:rsid w:val="000613A7"/>
    <w:rsid w:val="0006461D"/>
    <w:rsid w:val="0007428C"/>
    <w:rsid w:val="000753A7"/>
    <w:rsid w:val="00077689"/>
    <w:rsid w:val="00090726"/>
    <w:rsid w:val="00092BBF"/>
    <w:rsid w:val="000933C9"/>
    <w:rsid w:val="000955A9"/>
    <w:rsid w:val="000959EF"/>
    <w:rsid w:val="00095D30"/>
    <w:rsid w:val="00096577"/>
    <w:rsid w:val="000A21DE"/>
    <w:rsid w:val="000B10F1"/>
    <w:rsid w:val="000B1334"/>
    <w:rsid w:val="000B42BC"/>
    <w:rsid w:val="000B5160"/>
    <w:rsid w:val="000B597C"/>
    <w:rsid w:val="000D43A4"/>
    <w:rsid w:val="000D56B2"/>
    <w:rsid w:val="000E13E1"/>
    <w:rsid w:val="000E1F39"/>
    <w:rsid w:val="000E4A66"/>
    <w:rsid w:val="000F2FC7"/>
    <w:rsid w:val="00103658"/>
    <w:rsid w:val="00104241"/>
    <w:rsid w:val="00107CEE"/>
    <w:rsid w:val="001135D3"/>
    <w:rsid w:val="001147E7"/>
    <w:rsid w:val="001161C2"/>
    <w:rsid w:val="00120C61"/>
    <w:rsid w:val="0012541F"/>
    <w:rsid w:val="00134410"/>
    <w:rsid w:val="0013452A"/>
    <w:rsid w:val="0014075B"/>
    <w:rsid w:val="00142B08"/>
    <w:rsid w:val="001512E1"/>
    <w:rsid w:val="00153A6F"/>
    <w:rsid w:val="00161E17"/>
    <w:rsid w:val="00170158"/>
    <w:rsid w:val="001820C3"/>
    <w:rsid w:val="001824A5"/>
    <w:rsid w:val="001858EB"/>
    <w:rsid w:val="00185929"/>
    <w:rsid w:val="001870BF"/>
    <w:rsid w:val="00195B68"/>
    <w:rsid w:val="001A5F42"/>
    <w:rsid w:val="001B77F4"/>
    <w:rsid w:val="001C0548"/>
    <w:rsid w:val="001C50A3"/>
    <w:rsid w:val="001C54E6"/>
    <w:rsid w:val="001D53DD"/>
    <w:rsid w:val="001E1259"/>
    <w:rsid w:val="001E1B0C"/>
    <w:rsid w:val="001E209F"/>
    <w:rsid w:val="001E2356"/>
    <w:rsid w:val="001E2853"/>
    <w:rsid w:val="00203D29"/>
    <w:rsid w:val="0021011A"/>
    <w:rsid w:val="002132CA"/>
    <w:rsid w:val="00236DAF"/>
    <w:rsid w:val="0023782C"/>
    <w:rsid w:val="002411DB"/>
    <w:rsid w:val="00242C8C"/>
    <w:rsid w:val="00242EC3"/>
    <w:rsid w:val="002459C2"/>
    <w:rsid w:val="00252BC7"/>
    <w:rsid w:val="002530A3"/>
    <w:rsid w:val="0025436E"/>
    <w:rsid w:val="00271D95"/>
    <w:rsid w:val="00273DA0"/>
    <w:rsid w:val="0027584D"/>
    <w:rsid w:val="00277115"/>
    <w:rsid w:val="00280ABC"/>
    <w:rsid w:val="00285C0D"/>
    <w:rsid w:val="00285CC2"/>
    <w:rsid w:val="0029291B"/>
    <w:rsid w:val="002969AB"/>
    <w:rsid w:val="002A14AC"/>
    <w:rsid w:val="002A32E2"/>
    <w:rsid w:val="002B1470"/>
    <w:rsid w:val="002B43CE"/>
    <w:rsid w:val="002B69E7"/>
    <w:rsid w:val="002C2186"/>
    <w:rsid w:val="002C4381"/>
    <w:rsid w:val="002D28D3"/>
    <w:rsid w:val="002D397F"/>
    <w:rsid w:val="002E1725"/>
    <w:rsid w:val="002E4051"/>
    <w:rsid w:val="002F184C"/>
    <w:rsid w:val="002F440C"/>
    <w:rsid w:val="002F4FD2"/>
    <w:rsid w:val="002F5AD5"/>
    <w:rsid w:val="003073A8"/>
    <w:rsid w:val="00307A3C"/>
    <w:rsid w:val="00311591"/>
    <w:rsid w:val="00317D9C"/>
    <w:rsid w:val="00323423"/>
    <w:rsid w:val="0032444D"/>
    <w:rsid w:val="00324E88"/>
    <w:rsid w:val="003449D6"/>
    <w:rsid w:val="00344A2F"/>
    <w:rsid w:val="00346D09"/>
    <w:rsid w:val="00353361"/>
    <w:rsid w:val="00370339"/>
    <w:rsid w:val="0037162C"/>
    <w:rsid w:val="003727D7"/>
    <w:rsid w:val="00374BF3"/>
    <w:rsid w:val="0038323E"/>
    <w:rsid w:val="00395174"/>
    <w:rsid w:val="00396DFE"/>
    <w:rsid w:val="00397FE4"/>
    <w:rsid w:val="003B03B5"/>
    <w:rsid w:val="003D29ED"/>
    <w:rsid w:val="003E1869"/>
    <w:rsid w:val="003E310A"/>
    <w:rsid w:val="003E3B9A"/>
    <w:rsid w:val="003E3D63"/>
    <w:rsid w:val="003F0E5B"/>
    <w:rsid w:val="003F31C9"/>
    <w:rsid w:val="003F7F2C"/>
    <w:rsid w:val="00402727"/>
    <w:rsid w:val="004070E6"/>
    <w:rsid w:val="004132E3"/>
    <w:rsid w:val="00416A96"/>
    <w:rsid w:val="004179F3"/>
    <w:rsid w:val="00421E7E"/>
    <w:rsid w:val="0042394E"/>
    <w:rsid w:val="00424CD8"/>
    <w:rsid w:val="004263A9"/>
    <w:rsid w:val="00444780"/>
    <w:rsid w:val="00455851"/>
    <w:rsid w:val="0046080F"/>
    <w:rsid w:val="00465666"/>
    <w:rsid w:val="00476363"/>
    <w:rsid w:val="0048054C"/>
    <w:rsid w:val="004852E9"/>
    <w:rsid w:val="00492100"/>
    <w:rsid w:val="004A1F33"/>
    <w:rsid w:val="004A2366"/>
    <w:rsid w:val="004A2C71"/>
    <w:rsid w:val="004A6CAA"/>
    <w:rsid w:val="004B1A3A"/>
    <w:rsid w:val="004B29A5"/>
    <w:rsid w:val="004B29E3"/>
    <w:rsid w:val="004B35CC"/>
    <w:rsid w:val="004B4683"/>
    <w:rsid w:val="004B6346"/>
    <w:rsid w:val="004C0430"/>
    <w:rsid w:val="004D3B9E"/>
    <w:rsid w:val="004D58E0"/>
    <w:rsid w:val="004D6A93"/>
    <w:rsid w:val="004E4AF9"/>
    <w:rsid w:val="004E551A"/>
    <w:rsid w:val="004F1664"/>
    <w:rsid w:val="004F4CB7"/>
    <w:rsid w:val="004F61A6"/>
    <w:rsid w:val="004F6B59"/>
    <w:rsid w:val="004F77D3"/>
    <w:rsid w:val="00501C0F"/>
    <w:rsid w:val="00501E40"/>
    <w:rsid w:val="0050517F"/>
    <w:rsid w:val="005127A9"/>
    <w:rsid w:val="0051381A"/>
    <w:rsid w:val="00523911"/>
    <w:rsid w:val="005456DB"/>
    <w:rsid w:val="00546A6F"/>
    <w:rsid w:val="005529CB"/>
    <w:rsid w:val="005556FB"/>
    <w:rsid w:val="00561BF3"/>
    <w:rsid w:val="00574BE5"/>
    <w:rsid w:val="00575C06"/>
    <w:rsid w:val="00577540"/>
    <w:rsid w:val="005801FC"/>
    <w:rsid w:val="005837B7"/>
    <w:rsid w:val="0059777E"/>
    <w:rsid w:val="005A585B"/>
    <w:rsid w:val="005A5C51"/>
    <w:rsid w:val="005B4C28"/>
    <w:rsid w:val="005C14A4"/>
    <w:rsid w:val="005C4C87"/>
    <w:rsid w:val="005D6421"/>
    <w:rsid w:val="005D77B8"/>
    <w:rsid w:val="005D7CCA"/>
    <w:rsid w:val="005E4829"/>
    <w:rsid w:val="005E6724"/>
    <w:rsid w:val="005F1859"/>
    <w:rsid w:val="005F4A59"/>
    <w:rsid w:val="005F7C70"/>
    <w:rsid w:val="0060176F"/>
    <w:rsid w:val="00604D7A"/>
    <w:rsid w:val="00606AD9"/>
    <w:rsid w:val="00607178"/>
    <w:rsid w:val="00617C31"/>
    <w:rsid w:val="006220E8"/>
    <w:rsid w:val="00624B53"/>
    <w:rsid w:val="006259E8"/>
    <w:rsid w:val="0062634E"/>
    <w:rsid w:val="00626DFA"/>
    <w:rsid w:val="006311DE"/>
    <w:rsid w:val="006338D3"/>
    <w:rsid w:val="00637003"/>
    <w:rsid w:val="00642102"/>
    <w:rsid w:val="00642B66"/>
    <w:rsid w:val="006451C0"/>
    <w:rsid w:val="00653BCC"/>
    <w:rsid w:val="00666AEA"/>
    <w:rsid w:val="006719A0"/>
    <w:rsid w:val="00671AB8"/>
    <w:rsid w:val="00671C13"/>
    <w:rsid w:val="00671EC3"/>
    <w:rsid w:val="00695A6F"/>
    <w:rsid w:val="006A1CDE"/>
    <w:rsid w:val="006B408F"/>
    <w:rsid w:val="006C07F1"/>
    <w:rsid w:val="006C44D3"/>
    <w:rsid w:val="006C53B6"/>
    <w:rsid w:val="006C5F10"/>
    <w:rsid w:val="006D2861"/>
    <w:rsid w:val="006D32AF"/>
    <w:rsid w:val="006D7B1A"/>
    <w:rsid w:val="006E189D"/>
    <w:rsid w:val="006E5109"/>
    <w:rsid w:val="006F088B"/>
    <w:rsid w:val="006F445F"/>
    <w:rsid w:val="006F624A"/>
    <w:rsid w:val="007058BC"/>
    <w:rsid w:val="00707A85"/>
    <w:rsid w:val="007313FC"/>
    <w:rsid w:val="00731C7D"/>
    <w:rsid w:val="00736FBE"/>
    <w:rsid w:val="007407FC"/>
    <w:rsid w:val="00752CD2"/>
    <w:rsid w:val="007558BB"/>
    <w:rsid w:val="00760EC1"/>
    <w:rsid w:val="00762CE8"/>
    <w:rsid w:val="00766707"/>
    <w:rsid w:val="00773A74"/>
    <w:rsid w:val="007742BC"/>
    <w:rsid w:val="00783532"/>
    <w:rsid w:val="007847D3"/>
    <w:rsid w:val="007869C0"/>
    <w:rsid w:val="00787245"/>
    <w:rsid w:val="00793236"/>
    <w:rsid w:val="0079496F"/>
    <w:rsid w:val="00796E44"/>
    <w:rsid w:val="00797D1B"/>
    <w:rsid w:val="007A314E"/>
    <w:rsid w:val="007A6E67"/>
    <w:rsid w:val="007B01D8"/>
    <w:rsid w:val="007B70CA"/>
    <w:rsid w:val="007C6F90"/>
    <w:rsid w:val="007D2E6A"/>
    <w:rsid w:val="00810C25"/>
    <w:rsid w:val="00817BC6"/>
    <w:rsid w:val="00824BF9"/>
    <w:rsid w:val="008304BA"/>
    <w:rsid w:val="00833ECA"/>
    <w:rsid w:val="008347EF"/>
    <w:rsid w:val="00835845"/>
    <w:rsid w:val="00836E64"/>
    <w:rsid w:val="00836FE2"/>
    <w:rsid w:val="00840DD8"/>
    <w:rsid w:val="00841BA5"/>
    <w:rsid w:val="00842FB0"/>
    <w:rsid w:val="0084597B"/>
    <w:rsid w:val="00850672"/>
    <w:rsid w:val="0085093F"/>
    <w:rsid w:val="00854434"/>
    <w:rsid w:val="00854600"/>
    <w:rsid w:val="00855A2B"/>
    <w:rsid w:val="008560A9"/>
    <w:rsid w:val="00856753"/>
    <w:rsid w:val="00860395"/>
    <w:rsid w:val="00861A11"/>
    <w:rsid w:val="0086426A"/>
    <w:rsid w:val="00865C25"/>
    <w:rsid w:val="00873434"/>
    <w:rsid w:val="008772B2"/>
    <w:rsid w:val="008811DF"/>
    <w:rsid w:val="0088344A"/>
    <w:rsid w:val="0088620E"/>
    <w:rsid w:val="008A02DE"/>
    <w:rsid w:val="008A0F0A"/>
    <w:rsid w:val="008A35AF"/>
    <w:rsid w:val="008A4A60"/>
    <w:rsid w:val="008B12E0"/>
    <w:rsid w:val="008B4E02"/>
    <w:rsid w:val="008C0FCE"/>
    <w:rsid w:val="008C70FF"/>
    <w:rsid w:val="008D1A90"/>
    <w:rsid w:val="008D748E"/>
    <w:rsid w:val="008E7126"/>
    <w:rsid w:val="008F05C7"/>
    <w:rsid w:val="008F2C9F"/>
    <w:rsid w:val="00911FCA"/>
    <w:rsid w:val="0091453E"/>
    <w:rsid w:val="00914CDA"/>
    <w:rsid w:val="00914F94"/>
    <w:rsid w:val="00916607"/>
    <w:rsid w:val="009245C3"/>
    <w:rsid w:val="00931EE8"/>
    <w:rsid w:val="009366C3"/>
    <w:rsid w:val="00941786"/>
    <w:rsid w:val="00974C4D"/>
    <w:rsid w:val="00974D51"/>
    <w:rsid w:val="00975192"/>
    <w:rsid w:val="00975277"/>
    <w:rsid w:val="00983906"/>
    <w:rsid w:val="009927E2"/>
    <w:rsid w:val="00993015"/>
    <w:rsid w:val="009A068C"/>
    <w:rsid w:val="009B0823"/>
    <w:rsid w:val="009B1B56"/>
    <w:rsid w:val="009B7464"/>
    <w:rsid w:val="009C0080"/>
    <w:rsid w:val="009C243D"/>
    <w:rsid w:val="009C310A"/>
    <w:rsid w:val="009C35FD"/>
    <w:rsid w:val="009D180E"/>
    <w:rsid w:val="009D377C"/>
    <w:rsid w:val="009D3EF6"/>
    <w:rsid w:val="009E0237"/>
    <w:rsid w:val="009F4F3C"/>
    <w:rsid w:val="009F5431"/>
    <w:rsid w:val="009F7692"/>
    <w:rsid w:val="00A013B9"/>
    <w:rsid w:val="00A0253E"/>
    <w:rsid w:val="00A13232"/>
    <w:rsid w:val="00A2781A"/>
    <w:rsid w:val="00A33F55"/>
    <w:rsid w:val="00A355B1"/>
    <w:rsid w:val="00A35649"/>
    <w:rsid w:val="00A363AE"/>
    <w:rsid w:val="00A46205"/>
    <w:rsid w:val="00A4629C"/>
    <w:rsid w:val="00A57C6B"/>
    <w:rsid w:val="00A63F17"/>
    <w:rsid w:val="00A67A01"/>
    <w:rsid w:val="00A70269"/>
    <w:rsid w:val="00A76CCA"/>
    <w:rsid w:val="00A87554"/>
    <w:rsid w:val="00A92DDB"/>
    <w:rsid w:val="00A97F96"/>
    <w:rsid w:val="00AB426B"/>
    <w:rsid w:val="00AC1EE6"/>
    <w:rsid w:val="00AC760E"/>
    <w:rsid w:val="00AD2187"/>
    <w:rsid w:val="00AD4C32"/>
    <w:rsid w:val="00AD50DC"/>
    <w:rsid w:val="00AE5E55"/>
    <w:rsid w:val="00AE6BB6"/>
    <w:rsid w:val="00AF1EDF"/>
    <w:rsid w:val="00AF2C53"/>
    <w:rsid w:val="00AF50F7"/>
    <w:rsid w:val="00AF51A7"/>
    <w:rsid w:val="00AF6522"/>
    <w:rsid w:val="00AF75BD"/>
    <w:rsid w:val="00AF7D66"/>
    <w:rsid w:val="00B00915"/>
    <w:rsid w:val="00B02AB4"/>
    <w:rsid w:val="00B037F8"/>
    <w:rsid w:val="00B07B72"/>
    <w:rsid w:val="00B07BC8"/>
    <w:rsid w:val="00B112D1"/>
    <w:rsid w:val="00B120DF"/>
    <w:rsid w:val="00B14518"/>
    <w:rsid w:val="00B16781"/>
    <w:rsid w:val="00B2014E"/>
    <w:rsid w:val="00B34BE9"/>
    <w:rsid w:val="00B3683A"/>
    <w:rsid w:val="00B4763F"/>
    <w:rsid w:val="00B514AF"/>
    <w:rsid w:val="00B658B5"/>
    <w:rsid w:val="00B66053"/>
    <w:rsid w:val="00B71187"/>
    <w:rsid w:val="00B727BD"/>
    <w:rsid w:val="00B74929"/>
    <w:rsid w:val="00B77EC2"/>
    <w:rsid w:val="00B81A77"/>
    <w:rsid w:val="00B909B5"/>
    <w:rsid w:val="00B90AB8"/>
    <w:rsid w:val="00B9216D"/>
    <w:rsid w:val="00B9270E"/>
    <w:rsid w:val="00B936AA"/>
    <w:rsid w:val="00B95033"/>
    <w:rsid w:val="00BA1BE5"/>
    <w:rsid w:val="00BA4C55"/>
    <w:rsid w:val="00BA5D5E"/>
    <w:rsid w:val="00BA710B"/>
    <w:rsid w:val="00BB0DFA"/>
    <w:rsid w:val="00BB2D7F"/>
    <w:rsid w:val="00BB4740"/>
    <w:rsid w:val="00BC2176"/>
    <w:rsid w:val="00BC38AD"/>
    <w:rsid w:val="00BD0697"/>
    <w:rsid w:val="00BD0FF9"/>
    <w:rsid w:val="00BD2C4A"/>
    <w:rsid w:val="00BD2D4C"/>
    <w:rsid w:val="00BE53BF"/>
    <w:rsid w:val="00BE55C4"/>
    <w:rsid w:val="00BF43BC"/>
    <w:rsid w:val="00C0405A"/>
    <w:rsid w:val="00C101CB"/>
    <w:rsid w:val="00C12101"/>
    <w:rsid w:val="00C150F0"/>
    <w:rsid w:val="00C17195"/>
    <w:rsid w:val="00C21579"/>
    <w:rsid w:val="00C23A92"/>
    <w:rsid w:val="00C24A92"/>
    <w:rsid w:val="00C2741D"/>
    <w:rsid w:val="00C32F07"/>
    <w:rsid w:val="00C33259"/>
    <w:rsid w:val="00C34877"/>
    <w:rsid w:val="00C3500B"/>
    <w:rsid w:val="00C3676A"/>
    <w:rsid w:val="00C37886"/>
    <w:rsid w:val="00C43D08"/>
    <w:rsid w:val="00C47CBD"/>
    <w:rsid w:val="00C52721"/>
    <w:rsid w:val="00C64F4A"/>
    <w:rsid w:val="00C8722C"/>
    <w:rsid w:val="00C91C02"/>
    <w:rsid w:val="00C9209F"/>
    <w:rsid w:val="00CA7A8F"/>
    <w:rsid w:val="00CB0ECA"/>
    <w:rsid w:val="00CB15CC"/>
    <w:rsid w:val="00CB1FB5"/>
    <w:rsid w:val="00CB3DEB"/>
    <w:rsid w:val="00CB755B"/>
    <w:rsid w:val="00CC2225"/>
    <w:rsid w:val="00CD3D15"/>
    <w:rsid w:val="00CE18F6"/>
    <w:rsid w:val="00CE68EB"/>
    <w:rsid w:val="00CE7964"/>
    <w:rsid w:val="00CE7FBA"/>
    <w:rsid w:val="00CF4707"/>
    <w:rsid w:val="00CF698B"/>
    <w:rsid w:val="00CF793B"/>
    <w:rsid w:val="00D008F8"/>
    <w:rsid w:val="00D01D48"/>
    <w:rsid w:val="00D02859"/>
    <w:rsid w:val="00D062DB"/>
    <w:rsid w:val="00D1426B"/>
    <w:rsid w:val="00D17664"/>
    <w:rsid w:val="00D254BB"/>
    <w:rsid w:val="00D255E8"/>
    <w:rsid w:val="00D27F5D"/>
    <w:rsid w:val="00D358E4"/>
    <w:rsid w:val="00D447CC"/>
    <w:rsid w:val="00D44A91"/>
    <w:rsid w:val="00D62C12"/>
    <w:rsid w:val="00D70657"/>
    <w:rsid w:val="00D7260D"/>
    <w:rsid w:val="00D93FAD"/>
    <w:rsid w:val="00D95E80"/>
    <w:rsid w:val="00DB1A75"/>
    <w:rsid w:val="00DB1B4D"/>
    <w:rsid w:val="00DB2263"/>
    <w:rsid w:val="00DB4AF9"/>
    <w:rsid w:val="00DB73A4"/>
    <w:rsid w:val="00DC0EA4"/>
    <w:rsid w:val="00DC2ABC"/>
    <w:rsid w:val="00DC5679"/>
    <w:rsid w:val="00DE19E2"/>
    <w:rsid w:val="00DE4E56"/>
    <w:rsid w:val="00DF000A"/>
    <w:rsid w:val="00DF29E7"/>
    <w:rsid w:val="00DF29FE"/>
    <w:rsid w:val="00DF4F0F"/>
    <w:rsid w:val="00DF5DCC"/>
    <w:rsid w:val="00E02572"/>
    <w:rsid w:val="00E0696F"/>
    <w:rsid w:val="00E0735B"/>
    <w:rsid w:val="00E22616"/>
    <w:rsid w:val="00E23402"/>
    <w:rsid w:val="00E2745F"/>
    <w:rsid w:val="00E335B6"/>
    <w:rsid w:val="00E348B7"/>
    <w:rsid w:val="00E360C7"/>
    <w:rsid w:val="00E4264E"/>
    <w:rsid w:val="00E434D7"/>
    <w:rsid w:val="00E45CF1"/>
    <w:rsid w:val="00E4727E"/>
    <w:rsid w:val="00E47CCF"/>
    <w:rsid w:val="00E53647"/>
    <w:rsid w:val="00E53C42"/>
    <w:rsid w:val="00E5688D"/>
    <w:rsid w:val="00E56F0F"/>
    <w:rsid w:val="00E576D3"/>
    <w:rsid w:val="00E60929"/>
    <w:rsid w:val="00E63667"/>
    <w:rsid w:val="00E652B7"/>
    <w:rsid w:val="00E6553B"/>
    <w:rsid w:val="00E708CC"/>
    <w:rsid w:val="00E722DF"/>
    <w:rsid w:val="00E7585E"/>
    <w:rsid w:val="00E75D87"/>
    <w:rsid w:val="00E80D16"/>
    <w:rsid w:val="00E8600E"/>
    <w:rsid w:val="00E905E2"/>
    <w:rsid w:val="00E922A6"/>
    <w:rsid w:val="00E92580"/>
    <w:rsid w:val="00E9611F"/>
    <w:rsid w:val="00EA161F"/>
    <w:rsid w:val="00EA61C0"/>
    <w:rsid w:val="00EB4F68"/>
    <w:rsid w:val="00EC0455"/>
    <w:rsid w:val="00ED44BA"/>
    <w:rsid w:val="00ED622A"/>
    <w:rsid w:val="00EE1F94"/>
    <w:rsid w:val="00EF01D9"/>
    <w:rsid w:val="00EF3429"/>
    <w:rsid w:val="00EF5855"/>
    <w:rsid w:val="00EF7042"/>
    <w:rsid w:val="00F00488"/>
    <w:rsid w:val="00F04399"/>
    <w:rsid w:val="00F101FD"/>
    <w:rsid w:val="00F10BB6"/>
    <w:rsid w:val="00F20FFE"/>
    <w:rsid w:val="00F21E0F"/>
    <w:rsid w:val="00F22597"/>
    <w:rsid w:val="00F32DD4"/>
    <w:rsid w:val="00F35E12"/>
    <w:rsid w:val="00F4475E"/>
    <w:rsid w:val="00F60BDD"/>
    <w:rsid w:val="00F628CD"/>
    <w:rsid w:val="00F71C59"/>
    <w:rsid w:val="00F760BB"/>
    <w:rsid w:val="00F76368"/>
    <w:rsid w:val="00F812A5"/>
    <w:rsid w:val="00F821DF"/>
    <w:rsid w:val="00F823C8"/>
    <w:rsid w:val="00F838C0"/>
    <w:rsid w:val="00F86919"/>
    <w:rsid w:val="00F917D8"/>
    <w:rsid w:val="00F928E1"/>
    <w:rsid w:val="00FA4495"/>
    <w:rsid w:val="00FB509A"/>
    <w:rsid w:val="00FB7292"/>
    <w:rsid w:val="00FC2C2A"/>
    <w:rsid w:val="00FC4176"/>
    <w:rsid w:val="00FC6855"/>
    <w:rsid w:val="00FC6A83"/>
    <w:rsid w:val="00FD6D04"/>
    <w:rsid w:val="00FE5D8E"/>
    <w:rsid w:val="00FF36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9A"/>
    <w:pPr>
      <w:ind w:left="720"/>
      <w:contextualSpacing/>
    </w:pPr>
  </w:style>
  <w:style w:type="paragraph" w:styleId="FootnoteText">
    <w:name w:val="footnote text"/>
    <w:basedOn w:val="Normal"/>
    <w:link w:val="FootnoteTextChar"/>
    <w:uiPriority w:val="99"/>
    <w:semiHidden/>
    <w:unhideWhenUsed/>
    <w:rsid w:val="007D2E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E6A"/>
    <w:rPr>
      <w:sz w:val="20"/>
      <w:szCs w:val="20"/>
    </w:rPr>
  </w:style>
  <w:style w:type="character" w:styleId="FootnoteReference">
    <w:name w:val="footnote reference"/>
    <w:basedOn w:val="DefaultParagraphFont"/>
    <w:uiPriority w:val="99"/>
    <w:semiHidden/>
    <w:unhideWhenUsed/>
    <w:rsid w:val="007D2E6A"/>
    <w:rPr>
      <w:vertAlign w:val="superscript"/>
    </w:rPr>
  </w:style>
  <w:style w:type="paragraph" w:customStyle="1" w:styleId="Default">
    <w:name w:val="Default"/>
    <w:rsid w:val="00CB3DEB"/>
    <w:pPr>
      <w:autoSpaceDE w:val="0"/>
      <w:autoSpaceDN w:val="0"/>
      <w:adjustRightInd w:val="0"/>
      <w:spacing w:after="0" w:line="240" w:lineRule="auto"/>
    </w:pPr>
    <w:rPr>
      <w:rFonts w:ascii="Trebuchet MS" w:eastAsia="Calibri" w:hAnsi="Trebuchet MS" w:cs="Trebuchet MS"/>
      <w:color w:val="000000"/>
      <w:sz w:val="24"/>
      <w:szCs w:val="24"/>
      <w:lang w:val="en-US"/>
    </w:rPr>
  </w:style>
  <w:style w:type="table" w:styleId="TableGrid">
    <w:name w:val="Table Grid"/>
    <w:basedOn w:val="TableNormal"/>
    <w:uiPriority w:val="59"/>
    <w:rsid w:val="00E92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9A"/>
    <w:pPr>
      <w:ind w:left="720"/>
      <w:contextualSpacing/>
    </w:pPr>
  </w:style>
  <w:style w:type="paragraph" w:styleId="FootnoteText">
    <w:name w:val="footnote text"/>
    <w:basedOn w:val="Normal"/>
    <w:link w:val="FootnoteTextChar"/>
    <w:uiPriority w:val="99"/>
    <w:semiHidden/>
    <w:unhideWhenUsed/>
    <w:rsid w:val="007D2E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E6A"/>
    <w:rPr>
      <w:sz w:val="20"/>
      <w:szCs w:val="20"/>
    </w:rPr>
  </w:style>
  <w:style w:type="character" w:styleId="FootnoteReference">
    <w:name w:val="footnote reference"/>
    <w:basedOn w:val="DefaultParagraphFont"/>
    <w:uiPriority w:val="99"/>
    <w:semiHidden/>
    <w:unhideWhenUsed/>
    <w:rsid w:val="007D2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B169-53DF-41EE-AD50-AECCCE0B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3498</TotalTime>
  <Pages>5</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Fundatia Semnal</dc:creator>
  <cp:lastModifiedBy>PC</cp:lastModifiedBy>
  <cp:revision>422</cp:revision>
  <cp:lastPrinted>2016-03-14T08:32:00Z</cp:lastPrinted>
  <dcterms:created xsi:type="dcterms:W3CDTF">2016-03-12T13:15:00Z</dcterms:created>
  <dcterms:modified xsi:type="dcterms:W3CDTF">2016-06-19T08:49:00Z</dcterms:modified>
</cp:coreProperties>
</file>